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047B9" w14:textId="762AE911" w:rsidR="002F466F" w:rsidRDefault="002F466F" w:rsidP="002F466F">
      <w:pPr>
        <w:autoSpaceDE w:val="0"/>
        <w:autoSpaceDN w:val="0"/>
        <w:adjustRightInd w:val="0"/>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tab/>
      </w:r>
      <w:r>
        <w:rPr>
          <w:rFonts w:ascii="Times New Roman" w:hAnsi="Times New Roman" w:cs="Times New Roman"/>
          <w:b/>
          <w:bCs/>
          <w:i/>
          <w:sz w:val="24"/>
          <w:szCs w:val="24"/>
        </w:rPr>
        <w:tab/>
      </w:r>
      <w:r>
        <w:rPr>
          <w:rFonts w:ascii="Times New Roman" w:hAnsi="Times New Roman" w:cs="Times New Roman"/>
          <w:b/>
          <w:bCs/>
          <w:i/>
          <w:sz w:val="24"/>
          <w:szCs w:val="24"/>
        </w:rPr>
        <w:tab/>
      </w:r>
      <w:r>
        <w:rPr>
          <w:rFonts w:ascii="Times New Roman" w:hAnsi="Times New Roman" w:cs="Times New Roman"/>
          <w:b/>
          <w:bCs/>
          <w:i/>
          <w:sz w:val="24"/>
          <w:szCs w:val="24"/>
        </w:rPr>
        <w:tab/>
      </w:r>
      <w:r>
        <w:rPr>
          <w:rFonts w:ascii="Times New Roman" w:hAnsi="Times New Roman" w:cs="Times New Roman"/>
          <w:b/>
          <w:bCs/>
          <w:i/>
          <w:sz w:val="24"/>
          <w:szCs w:val="24"/>
        </w:rPr>
        <w:tab/>
      </w:r>
      <w:r>
        <w:rPr>
          <w:rFonts w:ascii="Times New Roman" w:hAnsi="Times New Roman" w:cs="Times New Roman"/>
          <w:b/>
          <w:bCs/>
          <w:i/>
          <w:sz w:val="24"/>
          <w:szCs w:val="24"/>
        </w:rPr>
        <w:tab/>
      </w:r>
      <w:r>
        <w:rPr>
          <w:rFonts w:ascii="Times New Roman" w:hAnsi="Times New Roman" w:cs="Times New Roman"/>
          <w:b/>
          <w:bCs/>
          <w:i/>
          <w:sz w:val="24"/>
          <w:szCs w:val="24"/>
        </w:rPr>
        <w:tab/>
      </w:r>
      <w:r>
        <w:rPr>
          <w:rFonts w:ascii="Times New Roman" w:hAnsi="Times New Roman" w:cs="Times New Roman"/>
          <w:b/>
          <w:bCs/>
          <w:i/>
          <w:sz w:val="24"/>
          <w:szCs w:val="24"/>
        </w:rPr>
        <w:tab/>
      </w:r>
      <w:r>
        <w:rPr>
          <w:rFonts w:ascii="Times New Roman" w:hAnsi="Times New Roman" w:cs="Times New Roman"/>
          <w:b/>
          <w:bCs/>
          <w:i/>
          <w:sz w:val="24"/>
          <w:szCs w:val="24"/>
        </w:rPr>
        <w:tab/>
      </w:r>
    </w:p>
    <w:p w14:paraId="105C7414" w14:textId="77777777" w:rsidR="002F466F" w:rsidRDefault="002F466F" w:rsidP="002F466F">
      <w:pPr>
        <w:autoSpaceDE w:val="0"/>
        <w:autoSpaceDN w:val="0"/>
        <w:adjustRightInd w:val="0"/>
        <w:spacing w:after="0" w:line="240" w:lineRule="auto"/>
        <w:rPr>
          <w:rFonts w:ascii="Times New Roman" w:hAnsi="Times New Roman" w:cs="Times New Roman"/>
          <w:b/>
          <w:bCs/>
          <w:i/>
          <w:sz w:val="24"/>
          <w:szCs w:val="24"/>
        </w:rPr>
      </w:pPr>
    </w:p>
    <w:p w14:paraId="45DDDE02" w14:textId="77777777" w:rsidR="002F466F" w:rsidRDefault="002F466F" w:rsidP="002F466F">
      <w:pPr>
        <w:autoSpaceDE w:val="0"/>
        <w:autoSpaceDN w:val="0"/>
        <w:adjustRightInd w:val="0"/>
        <w:spacing w:after="0" w:line="240" w:lineRule="auto"/>
        <w:rPr>
          <w:rFonts w:ascii="Times New Roman" w:hAnsi="Times New Roman" w:cs="Times New Roman"/>
          <w:b/>
          <w:bCs/>
          <w:i/>
          <w:sz w:val="24"/>
          <w:szCs w:val="24"/>
        </w:rPr>
      </w:pPr>
    </w:p>
    <w:p w14:paraId="6B9ADC26" w14:textId="77777777" w:rsidR="002F466F" w:rsidRDefault="002F466F" w:rsidP="002F466F">
      <w:pPr>
        <w:autoSpaceDE w:val="0"/>
        <w:autoSpaceDN w:val="0"/>
        <w:adjustRightInd w:val="0"/>
        <w:spacing w:after="0" w:line="240" w:lineRule="auto"/>
        <w:jc w:val="center"/>
        <w:rPr>
          <w:rFonts w:ascii="Times New Roman" w:hAnsi="Times New Roman" w:cs="Times New Roman"/>
          <w:b/>
          <w:bCs/>
          <w:sz w:val="24"/>
          <w:szCs w:val="24"/>
          <w:lang w:val="bg-BG"/>
        </w:rPr>
      </w:pPr>
    </w:p>
    <w:p w14:paraId="2EFC8D73" w14:textId="77777777" w:rsidR="002F466F" w:rsidRDefault="002F466F" w:rsidP="002F466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General Committee on Economy, Infrastructure and Energy of the Parliamentary</w:t>
      </w:r>
    </w:p>
    <w:p w14:paraId="29CB4122" w14:textId="6E12BBEB" w:rsidR="002F466F" w:rsidRDefault="002F466F" w:rsidP="002F466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Assembly of the South</w:t>
      </w:r>
      <w:r w:rsidR="00607D76">
        <w:rPr>
          <w:rFonts w:ascii="Times New Roman" w:hAnsi="Times New Roman" w:cs="Times New Roman"/>
          <w:b/>
          <w:bCs/>
          <w:sz w:val="24"/>
          <w:szCs w:val="24"/>
        </w:rPr>
        <w:t>-</w:t>
      </w:r>
      <w:r>
        <w:rPr>
          <w:rFonts w:ascii="Times New Roman" w:hAnsi="Times New Roman" w:cs="Times New Roman"/>
          <w:b/>
          <w:bCs/>
          <w:sz w:val="24"/>
          <w:szCs w:val="24"/>
        </w:rPr>
        <w:t>East European Cooperation Process (SEECP PA)</w:t>
      </w:r>
    </w:p>
    <w:p w14:paraId="758E6C59" w14:textId="77777777" w:rsidR="002F466F" w:rsidRDefault="002F466F" w:rsidP="002F466F">
      <w:pPr>
        <w:autoSpaceDE w:val="0"/>
        <w:autoSpaceDN w:val="0"/>
        <w:adjustRightInd w:val="0"/>
        <w:spacing w:after="0" w:line="240" w:lineRule="auto"/>
        <w:jc w:val="center"/>
        <w:rPr>
          <w:rFonts w:ascii="Times New Roman" w:hAnsi="Times New Roman" w:cs="Times New Roman"/>
          <w:b/>
          <w:bCs/>
          <w:sz w:val="24"/>
          <w:szCs w:val="24"/>
        </w:rPr>
      </w:pPr>
    </w:p>
    <w:p w14:paraId="5F22D043" w14:textId="77777777" w:rsidR="002F466F" w:rsidRDefault="002F466F" w:rsidP="002F466F">
      <w:pPr>
        <w:jc w:val="center"/>
        <w:rPr>
          <w:rFonts w:ascii="Times New Roman" w:hAnsi="Times New Roman" w:cs="Times New Roman"/>
          <w:sz w:val="24"/>
          <w:szCs w:val="24"/>
        </w:rPr>
      </w:pPr>
    </w:p>
    <w:p w14:paraId="559C8137" w14:textId="77777777" w:rsidR="002F466F" w:rsidRDefault="002F466F" w:rsidP="002F466F">
      <w:pPr>
        <w:jc w:val="center"/>
        <w:rPr>
          <w:rFonts w:ascii="Times New Roman" w:hAnsi="Times New Roman" w:cs="Times New Roman"/>
          <w:sz w:val="24"/>
          <w:szCs w:val="24"/>
        </w:rPr>
      </w:pPr>
    </w:p>
    <w:p w14:paraId="701603E1" w14:textId="77777777" w:rsidR="002F466F" w:rsidRDefault="002F466F" w:rsidP="002F466F">
      <w:pPr>
        <w:jc w:val="center"/>
        <w:rPr>
          <w:rFonts w:ascii="Times New Roman" w:hAnsi="Times New Roman" w:cs="Times New Roman"/>
          <w:sz w:val="24"/>
          <w:szCs w:val="24"/>
        </w:rPr>
      </w:pPr>
    </w:p>
    <w:p w14:paraId="179FB3F8" w14:textId="77777777" w:rsidR="002F466F" w:rsidRDefault="002F466F" w:rsidP="002F466F">
      <w:pPr>
        <w:jc w:val="center"/>
        <w:rPr>
          <w:rFonts w:ascii="Times New Roman" w:hAnsi="Times New Roman" w:cs="Times New Roman"/>
          <w:sz w:val="24"/>
          <w:szCs w:val="24"/>
        </w:rPr>
      </w:pPr>
    </w:p>
    <w:p w14:paraId="64C7F3DA" w14:textId="77777777" w:rsidR="002F466F" w:rsidRDefault="002F466F" w:rsidP="002F466F">
      <w:pPr>
        <w:jc w:val="center"/>
        <w:rPr>
          <w:rFonts w:ascii="Times New Roman" w:hAnsi="Times New Roman" w:cs="Times New Roman"/>
          <w:sz w:val="24"/>
          <w:szCs w:val="24"/>
        </w:rPr>
      </w:pPr>
    </w:p>
    <w:p w14:paraId="65E2EC54" w14:textId="77777777" w:rsidR="002F466F" w:rsidRDefault="002F466F" w:rsidP="002F466F">
      <w:pPr>
        <w:jc w:val="center"/>
        <w:rPr>
          <w:rFonts w:ascii="Times New Roman" w:hAnsi="Times New Roman" w:cs="Times New Roman"/>
          <w:sz w:val="24"/>
          <w:szCs w:val="24"/>
        </w:rPr>
      </w:pPr>
    </w:p>
    <w:p w14:paraId="4D912F34" w14:textId="36D1A15B" w:rsidR="002F466F" w:rsidRDefault="002F466F" w:rsidP="002F466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R E P O R T</w:t>
      </w:r>
    </w:p>
    <w:p w14:paraId="55CCABD1" w14:textId="77777777" w:rsidR="002F466F" w:rsidRDefault="002F466F" w:rsidP="002F466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on</w:t>
      </w:r>
    </w:p>
    <w:p w14:paraId="27E8472C" w14:textId="77777777" w:rsidR="002F466F" w:rsidRDefault="002F466F" w:rsidP="002F466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“Regional Dimension of the Policy for Start-ups, Research and Development, and Innovations in South-East Europe”</w:t>
      </w:r>
    </w:p>
    <w:p w14:paraId="14FF1916" w14:textId="77777777" w:rsidR="002F466F" w:rsidRDefault="002F466F" w:rsidP="002F466F">
      <w:pPr>
        <w:autoSpaceDE w:val="0"/>
        <w:autoSpaceDN w:val="0"/>
        <w:adjustRightInd w:val="0"/>
        <w:spacing w:after="0" w:line="240" w:lineRule="auto"/>
        <w:jc w:val="center"/>
        <w:rPr>
          <w:rFonts w:ascii="Times New Roman" w:hAnsi="Times New Roman" w:cs="Times New Roman"/>
          <w:b/>
          <w:bCs/>
          <w:sz w:val="24"/>
          <w:szCs w:val="24"/>
        </w:rPr>
      </w:pPr>
    </w:p>
    <w:p w14:paraId="19721A04" w14:textId="77777777" w:rsidR="002F466F" w:rsidRDefault="002F466F" w:rsidP="002F466F">
      <w:pPr>
        <w:jc w:val="center"/>
        <w:rPr>
          <w:rFonts w:ascii="Times New Roman" w:hAnsi="Times New Roman" w:cs="Times New Roman"/>
          <w:b/>
          <w:bCs/>
          <w:sz w:val="24"/>
          <w:szCs w:val="24"/>
        </w:rPr>
      </w:pPr>
    </w:p>
    <w:p w14:paraId="495CC7B2" w14:textId="77777777" w:rsidR="002F466F" w:rsidRDefault="002F466F" w:rsidP="002F466F">
      <w:pPr>
        <w:jc w:val="center"/>
        <w:rPr>
          <w:rFonts w:ascii="Times New Roman" w:hAnsi="Times New Roman" w:cs="Times New Roman"/>
          <w:b/>
          <w:bCs/>
          <w:sz w:val="24"/>
          <w:szCs w:val="24"/>
        </w:rPr>
      </w:pPr>
    </w:p>
    <w:p w14:paraId="0765D301" w14:textId="77777777" w:rsidR="002F466F" w:rsidRDefault="002F466F" w:rsidP="002F466F">
      <w:pPr>
        <w:jc w:val="center"/>
        <w:rPr>
          <w:rFonts w:ascii="Times New Roman" w:hAnsi="Times New Roman" w:cs="Times New Roman"/>
          <w:b/>
          <w:bCs/>
          <w:sz w:val="24"/>
          <w:szCs w:val="24"/>
        </w:rPr>
      </w:pPr>
    </w:p>
    <w:p w14:paraId="685C90F2" w14:textId="77777777" w:rsidR="002F466F" w:rsidRDefault="002F466F" w:rsidP="002F466F">
      <w:pPr>
        <w:jc w:val="center"/>
        <w:rPr>
          <w:rFonts w:ascii="Times New Roman" w:hAnsi="Times New Roman" w:cs="Times New Roman"/>
          <w:b/>
          <w:bCs/>
          <w:sz w:val="24"/>
          <w:szCs w:val="24"/>
        </w:rPr>
      </w:pPr>
    </w:p>
    <w:p w14:paraId="42318DF9" w14:textId="77777777" w:rsidR="002F466F" w:rsidRDefault="002F466F" w:rsidP="002F466F">
      <w:pPr>
        <w:jc w:val="center"/>
        <w:rPr>
          <w:rFonts w:ascii="Times New Roman" w:hAnsi="Times New Roman" w:cs="Times New Roman"/>
          <w:b/>
          <w:bCs/>
          <w:sz w:val="24"/>
          <w:szCs w:val="24"/>
        </w:rPr>
      </w:pPr>
    </w:p>
    <w:p w14:paraId="02205F2E" w14:textId="77777777" w:rsidR="002F466F" w:rsidRDefault="002F466F" w:rsidP="002F466F">
      <w:pPr>
        <w:jc w:val="center"/>
        <w:rPr>
          <w:rFonts w:ascii="Times New Roman" w:hAnsi="Times New Roman" w:cs="Times New Roman"/>
          <w:b/>
          <w:bCs/>
          <w:sz w:val="24"/>
          <w:szCs w:val="24"/>
        </w:rPr>
      </w:pPr>
    </w:p>
    <w:p w14:paraId="2EF01365" w14:textId="77777777" w:rsidR="002F466F" w:rsidRDefault="002F466F" w:rsidP="002F466F">
      <w:pPr>
        <w:jc w:val="center"/>
        <w:rPr>
          <w:rFonts w:ascii="Times New Roman" w:hAnsi="Times New Roman" w:cs="Times New Roman"/>
          <w:b/>
          <w:bCs/>
          <w:sz w:val="24"/>
          <w:szCs w:val="24"/>
        </w:rPr>
      </w:pPr>
    </w:p>
    <w:p w14:paraId="4B24DF90" w14:textId="77777777" w:rsidR="002F466F" w:rsidRDefault="002F466F" w:rsidP="002F466F">
      <w:pPr>
        <w:jc w:val="center"/>
        <w:rPr>
          <w:rFonts w:ascii="Times New Roman" w:hAnsi="Times New Roman" w:cs="Times New Roman"/>
          <w:b/>
          <w:bCs/>
          <w:sz w:val="24"/>
          <w:szCs w:val="24"/>
        </w:rPr>
      </w:pPr>
    </w:p>
    <w:p w14:paraId="60A167EF" w14:textId="77777777" w:rsidR="002F466F" w:rsidRDefault="002F466F" w:rsidP="002F466F">
      <w:pPr>
        <w:jc w:val="center"/>
        <w:rPr>
          <w:rFonts w:ascii="Times New Roman" w:hAnsi="Times New Roman" w:cs="Times New Roman"/>
          <w:b/>
          <w:bCs/>
          <w:sz w:val="24"/>
          <w:szCs w:val="24"/>
        </w:rPr>
      </w:pPr>
    </w:p>
    <w:p w14:paraId="2B1D26C0" w14:textId="77777777" w:rsidR="002F466F" w:rsidRDefault="002F466F" w:rsidP="002F466F">
      <w:pPr>
        <w:jc w:val="center"/>
        <w:rPr>
          <w:rFonts w:ascii="Times New Roman" w:hAnsi="Times New Roman" w:cs="Times New Roman"/>
          <w:b/>
          <w:bCs/>
          <w:sz w:val="24"/>
          <w:szCs w:val="24"/>
        </w:rPr>
      </w:pPr>
    </w:p>
    <w:p w14:paraId="5B35606C" w14:textId="77777777" w:rsidR="002F466F" w:rsidRDefault="002F466F" w:rsidP="00B37E39">
      <w:pPr>
        <w:rPr>
          <w:rFonts w:ascii="Times New Roman" w:hAnsi="Times New Roman" w:cs="Times New Roman"/>
          <w:b/>
          <w:bCs/>
          <w:sz w:val="24"/>
          <w:szCs w:val="24"/>
        </w:rPr>
      </w:pPr>
    </w:p>
    <w:p w14:paraId="29C0E627" w14:textId="77777777" w:rsidR="002F466F" w:rsidRDefault="002F466F" w:rsidP="002F466F">
      <w:pPr>
        <w:jc w:val="center"/>
        <w:rPr>
          <w:rFonts w:ascii="Times New Roman" w:hAnsi="Times New Roman" w:cs="Times New Roman"/>
          <w:b/>
          <w:bCs/>
          <w:sz w:val="24"/>
          <w:szCs w:val="24"/>
        </w:rPr>
      </w:pPr>
    </w:p>
    <w:p w14:paraId="684A349E" w14:textId="77777777" w:rsidR="002F466F" w:rsidRDefault="002F466F" w:rsidP="002F466F">
      <w:pPr>
        <w:jc w:val="center"/>
        <w:rPr>
          <w:rFonts w:ascii="Times New Roman" w:hAnsi="Times New Roman" w:cs="Times New Roman"/>
          <w:b/>
          <w:bCs/>
          <w:sz w:val="24"/>
          <w:szCs w:val="24"/>
        </w:rPr>
      </w:pPr>
    </w:p>
    <w:p w14:paraId="01D1720F" w14:textId="6C0C9B63" w:rsidR="002F466F" w:rsidRDefault="002F466F" w:rsidP="002F466F">
      <w:pPr>
        <w:jc w:val="center"/>
        <w:rPr>
          <w:rFonts w:ascii="Times New Roman" w:hAnsi="Times New Roman" w:cs="Times New Roman"/>
          <w:b/>
          <w:bCs/>
          <w:sz w:val="24"/>
          <w:szCs w:val="24"/>
        </w:rPr>
      </w:pPr>
      <w:r>
        <w:rPr>
          <w:rFonts w:ascii="Times New Roman" w:hAnsi="Times New Roman" w:cs="Times New Roman"/>
          <w:b/>
          <w:bCs/>
          <w:sz w:val="24"/>
          <w:szCs w:val="24"/>
        </w:rPr>
        <w:t xml:space="preserve">Rapporteur: Ms. Iliana </w:t>
      </w:r>
      <w:proofErr w:type="spellStart"/>
      <w:r>
        <w:rPr>
          <w:rFonts w:ascii="Times New Roman" w:hAnsi="Times New Roman" w:cs="Times New Roman"/>
          <w:b/>
          <w:bCs/>
          <w:sz w:val="24"/>
          <w:szCs w:val="24"/>
        </w:rPr>
        <w:t>Zhekova</w:t>
      </w:r>
      <w:proofErr w:type="spellEnd"/>
      <w:r>
        <w:rPr>
          <w:rFonts w:ascii="Times New Roman" w:hAnsi="Times New Roman" w:cs="Times New Roman"/>
          <w:b/>
          <w:bCs/>
          <w:sz w:val="24"/>
          <w:szCs w:val="24"/>
        </w:rPr>
        <w:t xml:space="preserve">, </w:t>
      </w:r>
    </w:p>
    <w:p w14:paraId="7C925DF7" w14:textId="4ADE450D" w:rsidR="00ED624D" w:rsidRDefault="00ED624D" w:rsidP="00ED624D">
      <w:pPr>
        <w:spacing w:after="0"/>
        <w:jc w:val="center"/>
        <w:rPr>
          <w:rFonts w:ascii="Times New Roman" w:hAnsi="Times New Roman" w:cs="Times New Roman"/>
          <w:b/>
          <w:bCs/>
          <w:sz w:val="24"/>
          <w:szCs w:val="24"/>
        </w:rPr>
      </w:pPr>
      <w:r>
        <w:rPr>
          <w:rFonts w:ascii="Times New Roman" w:hAnsi="Times New Roman" w:cs="Times New Roman"/>
          <w:b/>
          <w:bCs/>
          <w:sz w:val="24"/>
          <w:szCs w:val="24"/>
        </w:rPr>
        <w:t>Sofia</w:t>
      </w:r>
    </w:p>
    <w:p w14:paraId="0080F861" w14:textId="6A84BFD3" w:rsidR="00D54510" w:rsidRDefault="00763631" w:rsidP="00ED624D">
      <w:pPr>
        <w:spacing w:after="0"/>
        <w:jc w:val="center"/>
        <w:rPr>
          <w:rFonts w:ascii="Times New Roman" w:hAnsi="Times New Roman" w:cs="Times New Roman"/>
          <w:b/>
          <w:bCs/>
          <w:sz w:val="24"/>
          <w:szCs w:val="24"/>
        </w:rPr>
      </w:pPr>
      <w:r>
        <w:rPr>
          <w:rFonts w:ascii="Times New Roman" w:hAnsi="Times New Roman" w:cs="Times New Roman"/>
          <w:b/>
          <w:bCs/>
          <w:sz w:val="24"/>
          <w:szCs w:val="24"/>
          <w:lang w:val="bg-BG"/>
        </w:rPr>
        <w:t>23</w:t>
      </w:r>
      <w:r w:rsidR="00B37E39">
        <w:rPr>
          <w:rFonts w:ascii="Times New Roman" w:hAnsi="Times New Roman" w:cs="Times New Roman"/>
          <w:b/>
          <w:bCs/>
          <w:sz w:val="24"/>
          <w:szCs w:val="24"/>
        </w:rPr>
        <w:t>/0</w:t>
      </w:r>
      <w:r>
        <w:rPr>
          <w:rFonts w:ascii="Times New Roman" w:hAnsi="Times New Roman" w:cs="Times New Roman"/>
          <w:b/>
          <w:bCs/>
          <w:sz w:val="24"/>
          <w:szCs w:val="24"/>
          <w:lang w:val="bg-BG"/>
        </w:rPr>
        <w:t>6</w:t>
      </w:r>
      <w:bookmarkStart w:id="0" w:name="_GoBack"/>
      <w:bookmarkEnd w:id="0"/>
      <w:r w:rsidR="00B37E39">
        <w:rPr>
          <w:rFonts w:ascii="Times New Roman" w:hAnsi="Times New Roman" w:cs="Times New Roman"/>
          <w:b/>
          <w:bCs/>
          <w:sz w:val="24"/>
          <w:szCs w:val="24"/>
        </w:rPr>
        <w:t>/2026</w:t>
      </w:r>
    </w:p>
    <w:p w14:paraId="1C441837" w14:textId="77777777" w:rsidR="00ED624D" w:rsidRDefault="00ED624D" w:rsidP="00ED624D">
      <w:pPr>
        <w:spacing w:after="0"/>
        <w:jc w:val="center"/>
        <w:rPr>
          <w:rFonts w:ascii="Times New Roman" w:hAnsi="Times New Roman" w:cs="Times New Roman"/>
          <w:b/>
          <w:bCs/>
          <w:sz w:val="24"/>
          <w:szCs w:val="24"/>
        </w:rPr>
      </w:pPr>
    </w:p>
    <w:p w14:paraId="15077E77" w14:textId="79E4363C" w:rsidR="005A1A79" w:rsidRPr="00D75811" w:rsidRDefault="005A1A79" w:rsidP="005A1A79">
      <w:pPr>
        <w:pStyle w:val="NormalWeb"/>
        <w:spacing w:line="360" w:lineRule="auto"/>
        <w:jc w:val="both"/>
      </w:pPr>
      <w:r>
        <w:lastRenderedPageBreak/>
        <w:t>South-East Europe is at a critical stage in its economic and institutional development, where innovation, research and start-ups are establishing themselves as key factors for sustainable growth and competitiveness. In the context of accelerated technological change, increased global competition and the need for structural economic transformation, policies to promote entrepreneurship, research and innovation</w:t>
      </w:r>
      <w:r>
        <w:rPr>
          <w:color w:val="FF0000"/>
        </w:rPr>
        <w:t xml:space="preserve"> </w:t>
      </w:r>
      <w:r>
        <w:t xml:space="preserve">occupy a central place in the strategic priorities in the </w:t>
      </w:r>
      <w:r w:rsidRPr="004319D6">
        <w:t>region and the European Union</w:t>
      </w:r>
      <w:r>
        <w:t>. European partner institutions, within various cooperation formats, provide substantial support for the development and implementation of policies in this area. They contribute to economic modernization, increased productivity, the digital and green transitions, and better integration with the European Union’s Single Market.</w:t>
      </w:r>
    </w:p>
    <w:p w14:paraId="5B8B67BB" w14:textId="46CF63A3" w:rsidR="005A1A79" w:rsidRPr="00D75811" w:rsidRDefault="005A1A79" w:rsidP="005A1A79">
      <w:pPr>
        <w:pStyle w:val="NormalWeb"/>
        <w:spacing w:line="360" w:lineRule="auto"/>
        <w:jc w:val="both"/>
      </w:pPr>
      <w:r>
        <w:t xml:space="preserve">The region is characterized by </w:t>
      </w:r>
      <w:r>
        <w:rPr>
          <w:rStyle w:val="Strong"/>
          <w:b w:val="0"/>
        </w:rPr>
        <w:t>economies and innovation ecosystems of varying scale and degree of development</w:t>
      </w:r>
      <w:r>
        <w:t>, as well as different access to financial and human resources. The European partner institutions note that under these conditions</w:t>
      </w:r>
      <w:r>
        <w:rPr>
          <w:rStyle w:val="Strong"/>
          <w:b w:val="0"/>
        </w:rPr>
        <w:t>, achieving sustainable and inclusive progress requires a complementary regional approach</w:t>
      </w:r>
      <w:r>
        <w:t xml:space="preserve"> based on coordination, alignment of priorities and sharing of good practices, </w:t>
      </w:r>
      <w:r w:rsidR="00EF366D">
        <w:t>building on existing policy frameworks</w:t>
      </w:r>
      <w:r>
        <w:t>.</w:t>
      </w:r>
    </w:p>
    <w:p w14:paraId="0E175C3C" w14:textId="19C0CE70" w:rsidR="005A1A79" w:rsidRPr="00310B1A" w:rsidRDefault="005A1A79" w:rsidP="005A1A79">
      <w:pPr>
        <w:pStyle w:val="NormalWeb"/>
        <w:spacing w:line="360" w:lineRule="auto"/>
        <w:jc w:val="both"/>
        <w:rPr>
          <w:color w:val="FF0000"/>
        </w:rPr>
      </w:pPr>
      <w:r>
        <w:t>The regional approach to policy development in the field of entrepreneurship and technological development is being established as a key mechanism for achieving economies of scale, more efficient use of public resources and increasing the investment attractiveness of South-East Europe</w:t>
      </w:r>
      <w:r w:rsidR="00800D82">
        <w:t>-region</w:t>
      </w:r>
      <w:r>
        <w:t>. In this context, it contributes to faster and sustainable convergence with the European legislative and regulatory standards.</w:t>
      </w:r>
    </w:p>
    <w:p w14:paraId="313A2178" w14:textId="77777777" w:rsidR="005A1A79" w:rsidRPr="00D75811" w:rsidRDefault="005A1A79" w:rsidP="005A1A79">
      <w:pPr>
        <w:pStyle w:val="NormalWeb"/>
        <w:spacing w:line="360" w:lineRule="auto"/>
        <w:jc w:val="both"/>
      </w:pPr>
      <w:r>
        <w:rPr>
          <w:rStyle w:val="Strong"/>
          <w:b w:val="0"/>
        </w:rPr>
        <w:t>Parliaments and legislative initiatives</w:t>
      </w:r>
      <w:r>
        <w:t xml:space="preserve"> play a particularly important role in this process. Parliaments play a key role as </w:t>
      </w:r>
      <w:r>
        <w:rPr>
          <w:rStyle w:val="Strong"/>
          <w:b w:val="0"/>
        </w:rPr>
        <w:t>drivers of legislative reforms</w:t>
      </w:r>
      <w:r>
        <w:t xml:space="preserve"> needed to harmonize legal frameworks with the European Union legislation. By adopting appropriate legislation, exercising parliamentary oversight and promoting political dialogue, legislators contribute to the sustainability and coherence of reforms.</w:t>
      </w:r>
    </w:p>
    <w:p w14:paraId="1E22D0DD" w14:textId="77777777" w:rsidR="005A1A79" w:rsidRPr="00D75811" w:rsidRDefault="005A1A79" w:rsidP="005A1A79">
      <w:pPr>
        <w:pStyle w:val="NormalWeb"/>
        <w:spacing w:line="360" w:lineRule="auto"/>
        <w:jc w:val="both"/>
      </w:pPr>
      <w:r>
        <w:rPr>
          <w:rStyle w:val="Strong"/>
          <w:b w:val="0"/>
        </w:rPr>
        <w:t>The European Parliament</w:t>
      </w:r>
      <w:r>
        <w:t xml:space="preserve">, in close cooperation with parliaments and </w:t>
      </w:r>
      <w:r>
        <w:rPr>
          <w:rStyle w:val="Strong"/>
          <w:b w:val="0"/>
        </w:rPr>
        <w:t>inter-parliamentary organizations in the region</w:t>
      </w:r>
      <w:r>
        <w:t>, supports the process of rapprochement with the European Union through parliamentary diplomacy, exchange of good practices and promotion of the implementation of European legislative standards and policies. The inter-parliamentary dimension of this process contributes to democratic legitimacy, transparency and public support for reforms related to innovation and economic transformation.</w:t>
      </w:r>
    </w:p>
    <w:p w14:paraId="38B360B6" w14:textId="77777777" w:rsidR="005A1A79" w:rsidRDefault="005A1A79" w:rsidP="005A1A79">
      <w:pPr>
        <w:pStyle w:val="NormalWeb"/>
        <w:spacing w:line="360" w:lineRule="auto"/>
        <w:jc w:val="both"/>
      </w:pPr>
      <w:r>
        <w:t xml:space="preserve">The understanding is that </w:t>
      </w:r>
      <w:r>
        <w:rPr>
          <w:rStyle w:val="Strong"/>
          <w:b w:val="0"/>
        </w:rPr>
        <w:t>startups, research and innovation</w:t>
      </w:r>
      <w:r>
        <w:t xml:space="preserve"> form a mutually reinforcing ecosystem that has the potential to accelerate the region’s economic modernization. In recent years, South-East Europe has witnessed a gradual strengthening of entrepreneurial ecosystems, increased interest and participation in European </w:t>
      </w:r>
      <w:proofErr w:type="spellStart"/>
      <w:r>
        <w:t>programmes</w:t>
      </w:r>
      <w:proofErr w:type="spellEnd"/>
      <w:r>
        <w:t xml:space="preserve"> and initiatives, which creates a </w:t>
      </w:r>
      <w:proofErr w:type="spellStart"/>
      <w:r>
        <w:t>favourable</w:t>
      </w:r>
      <w:proofErr w:type="spellEnd"/>
      <w:r>
        <w:t xml:space="preserve"> basis for further development. In this context, a number of </w:t>
      </w:r>
      <w:proofErr w:type="spellStart"/>
      <w:r>
        <w:t>programmes</w:t>
      </w:r>
      <w:proofErr w:type="spellEnd"/>
      <w:r>
        <w:t xml:space="preserve"> and financial instruments have been developed at the European level aimed at supporting research, innovation and digitalization, among which the following can be highlighted:</w:t>
      </w:r>
    </w:p>
    <w:p w14:paraId="54920952" w14:textId="5CEBA398" w:rsidR="005A1A79" w:rsidRPr="00526B5C" w:rsidRDefault="005A1A79" w:rsidP="005A1A79">
      <w:pPr>
        <w:pStyle w:val="NormalWeb"/>
        <w:spacing w:line="360" w:lineRule="auto"/>
        <w:jc w:val="both"/>
      </w:pPr>
      <w:r>
        <w:rPr>
          <w:rStyle w:val="Strong"/>
          <w:b w:val="0"/>
        </w:rPr>
        <w:t xml:space="preserve">The EU Framework </w:t>
      </w:r>
      <w:proofErr w:type="spellStart"/>
      <w:r>
        <w:rPr>
          <w:rStyle w:val="Strong"/>
          <w:b w:val="0"/>
        </w:rPr>
        <w:t>Programme</w:t>
      </w:r>
      <w:proofErr w:type="spellEnd"/>
      <w:r>
        <w:rPr>
          <w:rStyle w:val="Strong"/>
          <w:b w:val="0"/>
        </w:rPr>
        <w:t xml:space="preserve"> for Research and Innovation "</w:t>
      </w:r>
      <w:r>
        <w:t xml:space="preserve"> </w:t>
      </w:r>
      <w:hyperlink r:id="rId8" w:tgtFrame="_new" w:history="1">
        <w:r>
          <w:rPr>
            <w:rStyle w:val="Hyperlink"/>
            <w:color w:val="auto"/>
            <w:u w:val="none"/>
          </w:rPr>
          <w:t>Horizon Europe</w:t>
        </w:r>
      </w:hyperlink>
      <w:r>
        <w:t xml:space="preserve"> </w:t>
      </w:r>
      <w:r>
        <w:rPr>
          <w:rStyle w:val="Strong"/>
          <w:b w:val="0"/>
        </w:rPr>
        <w:t>", which is a key instrument for providing strategic and financial resources for European scientific and innovation ecosystems.</w:t>
      </w:r>
      <w:r>
        <w:t xml:space="preserve"> The </w:t>
      </w:r>
      <w:r w:rsidR="00F843C9">
        <w:t>initiative</w:t>
      </w:r>
      <w:r>
        <w:t xml:space="preserve"> covers the period </w:t>
      </w:r>
      <w:r>
        <w:rPr>
          <w:rStyle w:val="Strong"/>
          <w:b w:val="0"/>
        </w:rPr>
        <w:t>2021–2027</w:t>
      </w:r>
      <w:r>
        <w:t xml:space="preserve"> and is the largest research and innovation </w:t>
      </w:r>
      <w:proofErr w:type="spellStart"/>
      <w:r>
        <w:t>programme</w:t>
      </w:r>
      <w:proofErr w:type="spellEnd"/>
      <w:r>
        <w:t xml:space="preserve"> in the world with a budget of </w:t>
      </w:r>
      <w:r>
        <w:rPr>
          <w:rStyle w:val="Strong"/>
          <w:b w:val="0"/>
        </w:rPr>
        <w:t>around 95.5 billion EUR, including 5.4 billion EUR from the</w:t>
      </w:r>
      <w:r>
        <w:t xml:space="preserve"> </w:t>
      </w:r>
      <w:r>
        <w:rPr>
          <w:rStyle w:val="Emphasis"/>
        </w:rPr>
        <w:t>Next Generation EU</w:t>
      </w:r>
      <w:r>
        <w:t xml:space="preserve"> Fund </w:t>
      </w:r>
      <w:r>
        <w:rPr>
          <w:rStyle w:val="Strong"/>
          <w:b w:val="0"/>
        </w:rPr>
        <w:t>for Recovery and Resilience.</w:t>
      </w:r>
      <w:r>
        <w:t xml:space="preserve"> </w:t>
      </w:r>
    </w:p>
    <w:p w14:paraId="017C7B84" w14:textId="77777777" w:rsidR="005A1A79" w:rsidRPr="00526B5C" w:rsidRDefault="005A1A79" w:rsidP="005A1A79">
      <w:pPr>
        <w:pStyle w:val="NormalWeb"/>
        <w:spacing w:line="360" w:lineRule="auto"/>
        <w:jc w:val="both"/>
      </w:pPr>
      <w:r>
        <w:t>It is structured</w:t>
      </w:r>
      <w:r>
        <w:rPr>
          <w:color w:val="FF0000"/>
        </w:rPr>
        <w:t xml:space="preserve"> </w:t>
      </w:r>
      <w:r>
        <w:t>around three main "pillars" that correspond to key EU priorities:</w:t>
      </w:r>
    </w:p>
    <w:p w14:paraId="1F9B1993" w14:textId="77777777" w:rsidR="005A1A79" w:rsidRPr="00526B5C" w:rsidRDefault="005A1A79" w:rsidP="005A1A79">
      <w:pPr>
        <w:pStyle w:val="NormalWeb"/>
        <w:numPr>
          <w:ilvl w:val="0"/>
          <w:numId w:val="1"/>
        </w:numPr>
        <w:spacing w:line="360" w:lineRule="auto"/>
        <w:jc w:val="both"/>
      </w:pPr>
      <w:r>
        <w:rPr>
          <w:rStyle w:val="Strong"/>
          <w:b w:val="0"/>
        </w:rPr>
        <w:t>Excellent Science</w:t>
      </w:r>
      <w:r>
        <w:t xml:space="preserve"> – support for fundamental research and for applied research;</w:t>
      </w:r>
    </w:p>
    <w:p w14:paraId="1C30CCBC" w14:textId="77777777" w:rsidR="005A1A79" w:rsidRPr="00526B5C" w:rsidRDefault="005A1A79" w:rsidP="005A1A79">
      <w:pPr>
        <w:pStyle w:val="NormalWeb"/>
        <w:numPr>
          <w:ilvl w:val="0"/>
          <w:numId w:val="1"/>
        </w:numPr>
        <w:spacing w:line="360" w:lineRule="auto"/>
        <w:jc w:val="both"/>
      </w:pPr>
      <w:r>
        <w:rPr>
          <w:rStyle w:val="Strong"/>
          <w:b w:val="0"/>
        </w:rPr>
        <w:t>Global Challenges and European Industrial Competitiveness</w:t>
      </w:r>
      <w:r>
        <w:t xml:space="preserve"> – aimed at solving social and economic challenges;</w:t>
      </w:r>
    </w:p>
    <w:p w14:paraId="172B0D59" w14:textId="1C002681" w:rsidR="005A1A79" w:rsidRPr="00526B5C" w:rsidRDefault="005A1A79" w:rsidP="005A1A79">
      <w:pPr>
        <w:pStyle w:val="NormalWeb"/>
        <w:numPr>
          <w:ilvl w:val="0"/>
          <w:numId w:val="1"/>
        </w:numPr>
        <w:spacing w:line="360" w:lineRule="auto"/>
        <w:jc w:val="both"/>
      </w:pPr>
      <w:r>
        <w:rPr>
          <w:rStyle w:val="Strong"/>
          <w:b w:val="0"/>
        </w:rPr>
        <w:t>Innovative Europe</w:t>
      </w:r>
      <w:r>
        <w:t xml:space="preserve"> – with a focus on supporting innovation, including through </w:t>
      </w:r>
      <w:r>
        <w:rPr>
          <w:rStyle w:val="Strong"/>
          <w:b w:val="0"/>
        </w:rPr>
        <w:t>the European Innovation Council (EIC)</w:t>
      </w:r>
      <w:r>
        <w:t>.</w:t>
      </w:r>
    </w:p>
    <w:p w14:paraId="69ABBE46" w14:textId="569F9152" w:rsidR="005A1A79" w:rsidRPr="00BB0D24" w:rsidRDefault="005A1A79" w:rsidP="005A1A79">
      <w:pPr>
        <w:pStyle w:val="NormalWeb"/>
        <w:numPr>
          <w:ilvl w:val="0"/>
          <w:numId w:val="2"/>
        </w:numPr>
        <w:spacing w:before="0" w:beforeAutospacing="0" w:after="240" w:afterAutospacing="0" w:line="360" w:lineRule="auto"/>
        <w:jc w:val="both"/>
      </w:pPr>
      <w:r>
        <w:t xml:space="preserve">The Digital Europe </w:t>
      </w:r>
      <w:proofErr w:type="spellStart"/>
      <w:r>
        <w:t>programme</w:t>
      </w:r>
      <w:proofErr w:type="spellEnd"/>
      <w:r>
        <w:t xml:space="preserve"> supports digital capacity building in areas such as artificial intelligence, cybersecurity, high-performance computing and digital skills. It provides funding opportunities for digital innovation and the adoption of new technologies that are directly relevant to the development of startup ecosystems. Digital Europe is a European Union initiative for the period 2021–2027 aimed at accelerating the digital transformation of the economy. With a total budget of approximately 7.5 billion EUR, it aims to strengthen the EU's strategic digital capacity and support the widespread deployment of digital technologies in business, the public sector and society. The </w:t>
      </w:r>
      <w:r w:rsidR="00F843C9">
        <w:t>framework</w:t>
      </w:r>
      <w:r>
        <w:t xml:space="preserve"> focuses on five main priority areas: high-performance computing, artificial intelligence, cybersecurity, advanced digital skills and the implementation of digital technologies in the economy and public services. Through these areas, it supports the construction of infrastructure, the development of innovations and the practical implementation of digital solutions in various sectors. A particularly important element of the </w:t>
      </w:r>
      <w:proofErr w:type="spellStart"/>
      <w:r>
        <w:t>programme</w:t>
      </w:r>
      <w:proofErr w:type="spellEnd"/>
      <w:r>
        <w:t xml:space="preserve"> are the European Digital Innovation Hubs, which provide support to small and medium-sized enterprises and public organizations through access to technology, training, pre-investment testing and advice. This allows solutions such as artificial intelligence and automation to be implemented.</w:t>
      </w:r>
    </w:p>
    <w:p w14:paraId="7CAF68B1" w14:textId="77777777" w:rsidR="005A1A79" w:rsidRPr="00463216" w:rsidRDefault="005A1A79" w:rsidP="005A1A79">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hAnsi="Times New Roman"/>
          <w:sz w:val="24"/>
        </w:rPr>
        <w:t xml:space="preserve">The "Go Digital in the Western Balkans" </w:t>
      </w:r>
      <w:proofErr w:type="spellStart"/>
      <w:r>
        <w:rPr>
          <w:rFonts w:ascii="Times New Roman" w:hAnsi="Times New Roman"/>
          <w:sz w:val="24"/>
        </w:rPr>
        <w:t>programme</w:t>
      </w:r>
      <w:proofErr w:type="spellEnd"/>
      <w:r>
        <w:rPr>
          <w:rFonts w:ascii="Times New Roman" w:hAnsi="Times New Roman"/>
          <w:sz w:val="24"/>
        </w:rPr>
        <w:t xml:space="preserve">, implemented by the European Bank for Reconstruction and Development (EBRD) with the support of the European Union, is a key tool for supporting the digital and green transition of small and medium-sized enterprises in the region. Under the initiative, the EBRD is providing up to 350 million EUR through local partner financial institutions for lending to businesses investing in automation and digitalization. The </w:t>
      </w:r>
      <w:proofErr w:type="spellStart"/>
      <w:r>
        <w:rPr>
          <w:rFonts w:ascii="Times New Roman" w:hAnsi="Times New Roman"/>
          <w:sz w:val="24"/>
        </w:rPr>
        <w:t>programme</w:t>
      </w:r>
      <w:proofErr w:type="spellEnd"/>
      <w:r>
        <w:rPr>
          <w:rFonts w:ascii="Times New Roman" w:hAnsi="Times New Roman"/>
          <w:sz w:val="24"/>
        </w:rPr>
        <w:t xml:space="preserve"> aims to accelerate the digital transformation of enterprises and support their alignment with European Union standards. By promoting investments in automation, digital solutions and green technologies, it contributes to increasing productivity, improving production quality and strengthening business competitiveness. The initiative assists enterprises in optimizing their processes, reducing costs and time for implementing activities, as well as in increasing their ability to adapt to dynamic market conditions. At the same time, the development of digital skills and the creation of more sustainable and future-oriented jobs are encouraged.</w:t>
      </w:r>
    </w:p>
    <w:p w14:paraId="70504DFA" w14:textId="1B381DF0" w:rsidR="005A1A79" w:rsidRPr="00D75811" w:rsidRDefault="005A1A79" w:rsidP="005A1A79">
      <w:pPr>
        <w:pStyle w:val="NormalWeb"/>
        <w:spacing w:line="360" w:lineRule="auto"/>
        <w:ind w:firstLine="708"/>
        <w:jc w:val="both"/>
      </w:pPr>
      <w:r>
        <w:t>It is acknowledged that the region continues to face a number of structural challenges, including differences in the level of development of innovation ecosystems and limited access to finance in some</w:t>
      </w:r>
      <w:r w:rsidR="00800D82">
        <w:t>-</w:t>
      </w:r>
      <w:r>
        <w:t xml:space="preserve"> </w:t>
      </w:r>
      <w:r w:rsidR="00800D82">
        <w:t xml:space="preserve">SEECP PA </w:t>
      </w:r>
      <w:proofErr w:type="gramStart"/>
      <w:r w:rsidR="00800D82">
        <w:t>participants.</w:t>
      </w:r>
      <w:r>
        <w:t>.</w:t>
      </w:r>
      <w:proofErr w:type="gramEnd"/>
      <w:r>
        <w:t xml:space="preserve"> At the same time, however, these challenges are also seen as </w:t>
      </w:r>
      <w:r>
        <w:rPr>
          <w:rStyle w:val="Strong"/>
          <w:b w:val="0"/>
        </w:rPr>
        <w:t>an opportunity to implement targeted regional</w:t>
      </w:r>
      <w:r>
        <w:rPr>
          <w:rStyle w:val="Strong"/>
        </w:rPr>
        <w:t xml:space="preserve"> </w:t>
      </w:r>
      <w:r>
        <w:rPr>
          <w:rStyle w:val="Strong"/>
          <w:b w:val="0"/>
        </w:rPr>
        <w:t>policies</w:t>
      </w:r>
      <w:r>
        <w:t xml:space="preserve"> that would accelerate convergence and boost competitiveness. The economies of South-East Europe have significant potential for modernization and closer integration with the European Union, which cannot be fully realized through isolated policies alone. The limited scale of markets, differences in the level of development of innovation ecosystems and uneven access to finance highlight the need for </w:t>
      </w:r>
      <w:r>
        <w:rPr>
          <w:rStyle w:val="Strong"/>
          <w:b w:val="0"/>
        </w:rPr>
        <w:t>a more coordinated and coherent regional approach</w:t>
      </w:r>
      <w:r>
        <w:t xml:space="preserve"> that would create conditions for more efficient use of resources.</w:t>
      </w:r>
    </w:p>
    <w:p w14:paraId="53CC5D71" w14:textId="304FB0D5" w:rsidR="005A1A79" w:rsidRPr="00D75811" w:rsidRDefault="005A1A79" w:rsidP="005A1A79">
      <w:pPr>
        <w:pStyle w:val="NormalWeb"/>
        <w:spacing w:line="360" w:lineRule="auto"/>
        <w:ind w:firstLine="708"/>
        <w:jc w:val="both"/>
      </w:pPr>
      <w:r>
        <w:t>Regional cooperation is emerging as an important tool for achieving better integration of the region into European economic and innovation networks. The role of various cooperation formats, including inter-parliamentary organi</w:t>
      </w:r>
      <w:r w:rsidR="00F843C9">
        <w:t>z</w:t>
      </w:r>
      <w:r>
        <w:t>ations and political platforms, should be seen as complementary to local and European policies, without disrupting the established institutional balance.</w:t>
      </w:r>
    </w:p>
    <w:p w14:paraId="622987FF" w14:textId="5C75A058" w:rsidR="005A1A79" w:rsidRDefault="005A1A79" w:rsidP="005A1A79">
      <w:pPr>
        <w:pStyle w:val="NormalWeb"/>
        <w:spacing w:line="360" w:lineRule="auto"/>
        <w:ind w:firstLine="708"/>
        <w:jc w:val="both"/>
      </w:pPr>
      <w:r>
        <w:t xml:space="preserve">The challenges facing the region should be seen not only as constraints, but also as </w:t>
      </w:r>
      <w:r>
        <w:rPr>
          <w:rStyle w:val="Strong"/>
          <w:b w:val="0"/>
        </w:rPr>
        <w:t>an opportunity</w:t>
      </w:r>
      <w:r>
        <w:t xml:space="preserve"> to accelerate convergence, increase competitiveness and encourage fuller participation in the European Innovation Area. In this process, it is essential to ensure consistency between political priorities, legislative frameworks and practical support instruments.</w:t>
      </w:r>
    </w:p>
    <w:p w14:paraId="27953EB7" w14:textId="17B695D1" w:rsidR="00EB5CB9" w:rsidRDefault="00693CC0" w:rsidP="005A1A79">
      <w:pPr>
        <w:pStyle w:val="NormalWeb"/>
        <w:spacing w:line="360" w:lineRule="auto"/>
        <w:ind w:firstLine="708"/>
        <w:jc w:val="both"/>
      </w:pPr>
      <w:r>
        <w:t>Innovation policies in South-East Europe should be viewed as an integral component of the region’s broader connectivity architecture, encompassing energy and transport networks. Emerging connectivity frameworks highlight the strategic importance of linking infrastructure with innovation ecosystems. By embedding research, digital technologies, and start-up development within these networks, South-East Europe can enhance energy security, facilitate efficient transport and logistics, and strengthen its role as a gateway between Europe, Asia, and the Eastern Mediterranean.</w:t>
      </w:r>
    </w:p>
    <w:p w14:paraId="38F3BF04" w14:textId="5058760F" w:rsidR="00E92AD5" w:rsidRPr="00087A1D" w:rsidRDefault="00E92AD5" w:rsidP="00E92AD5">
      <w:pPr>
        <w:spacing w:line="360" w:lineRule="auto"/>
        <w:jc w:val="both"/>
        <w:rPr>
          <w:rFonts w:ascii="Times New Roman" w:hAnsi="Times New Roman" w:cs="Times New Roman"/>
          <w:b/>
          <w:bCs/>
          <w:sz w:val="24"/>
          <w:szCs w:val="24"/>
        </w:rPr>
      </w:pPr>
      <w:r w:rsidRPr="00087A1D">
        <w:rPr>
          <w:rFonts w:ascii="Times New Roman" w:hAnsi="Times New Roman" w:cs="Times New Roman"/>
          <w:b/>
          <w:bCs/>
          <w:sz w:val="24"/>
          <w:szCs w:val="24"/>
        </w:rPr>
        <w:t>Situation in South</w:t>
      </w:r>
      <w:r w:rsidR="00607D76">
        <w:rPr>
          <w:rFonts w:ascii="Times New Roman" w:hAnsi="Times New Roman" w:cs="Times New Roman"/>
          <w:b/>
          <w:bCs/>
          <w:sz w:val="24"/>
          <w:szCs w:val="24"/>
        </w:rPr>
        <w:t>-</w:t>
      </w:r>
      <w:r w:rsidRPr="00087A1D">
        <w:rPr>
          <w:rFonts w:ascii="Times New Roman" w:hAnsi="Times New Roman" w:cs="Times New Roman"/>
          <w:b/>
          <w:bCs/>
          <w:sz w:val="24"/>
          <w:szCs w:val="24"/>
        </w:rPr>
        <w:t xml:space="preserve">East Europe Region </w:t>
      </w:r>
    </w:p>
    <w:p w14:paraId="79F3DB62" w14:textId="4ECE289D" w:rsidR="00E92AD5" w:rsidRPr="00087A1D" w:rsidRDefault="00E92AD5" w:rsidP="00E92AD5">
      <w:pPr>
        <w:pStyle w:val="NormalWeb"/>
        <w:spacing w:line="360" w:lineRule="auto"/>
        <w:jc w:val="both"/>
      </w:pPr>
      <w:r w:rsidRPr="00087A1D">
        <w:rPr>
          <w:b/>
        </w:rPr>
        <w:t>Ankara</w:t>
      </w:r>
      <w:bookmarkStart w:id="1" w:name="_Hlk224299604"/>
      <w:r w:rsidR="00352EE1">
        <w:rPr>
          <w:b/>
        </w:rPr>
        <w:t xml:space="preserve"> </w:t>
      </w:r>
      <w:r w:rsidRPr="00087A1D">
        <w:t xml:space="preserve">has made </w:t>
      </w:r>
      <w:bookmarkEnd w:id="1"/>
      <w:r w:rsidRPr="00087A1D">
        <w:t xml:space="preserve">entrepreneurship and innovation policies are strategically oriented toward enhancing economic development and global competitiveness by linking R&amp;D capacity with commercialization and increasing the number of scalable companies. These policies are led by institutions such as </w:t>
      </w:r>
      <w:r w:rsidRPr="00087A1D">
        <w:rPr>
          <w:rStyle w:val="whitespace-normal"/>
        </w:rPr>
        <w:t>Ministry of Industry and Technology</w:t>
      </w:r>
      <w:r w:rsidRPr="00087A1D">
        <w:t xml:space="preserve">, </w:t>
      </w:r>
      <w:r w:rsidRPr="00087A1D">
        <w:rPr>
          <w:rStyle w:val="whitespace-normal"/>
        </w:rPr>
        <w:t>TÜBİTAK</w:t>
      </w:r>
      <w:r w:rsidRPr="00087A1D">
        <w:t xml:space="preserve">, and </w:t>
      </w:r>
      <w:r w:rsidRPr="00087A1D">
        <w:rPr>
          <w:rStyle w:val="whitespace-normal"/>
        </w:rPr>
        <w:t>KOSGEB</w:t>
      </w:r>
      <w:r w:rsidRPr="00087A1D">
        <w:t>. As of 2024, R&amp;D expenditures have reached USD 19.9 billion (1.46% of GDP), with more than 310,000 R&amp;D personnel and nearly 12,000 start-ups operating in 113 techno</w:t>
      </w:r>
      <w:r w:rsidR="00B37E39">
        <w:t xml:space="preserve"> </w:t>
      </w:r>
      <w:r w:rsidRPr="00087A1D">
        <w:t xml:space="preserve">parks, generating USD 15.2 billion in exports and employing 124,000 people. Policy implementation is guided by strategic frameworks such as the National Technology Entrepreneurship Strategy (2022–2025), which has achieved an 85% completion rate across 140 projects and targets increasing the total valuation of </w:t>
      </w:r>
      <w:proofErr w:type="spellStart"/>
      <w:r w:rsidRPr="00087A1D">
        <w:t>Turcorns</w:t>
      </w:r>
      <w:proofErr w:type="spellEnd"/>
      <w:r w:rsidRPr="00087A1D">
        <w:t xml:space="preserve"> to USD 100 billion by 2030. Green transformation is supported through programs like the Global Clean Technologies Entrepreneurship </w:t>
      </w:r>
      <w:proofErr w:type="spellStart"/>
      <w:r w:rsidRPr="00087A1D">
        <w:t>Programme</w:t>
      </w:r>
      <w:proofErr w:type="spellEnd"/>
      <w:r w:rsidRPr="00087A1D">
        <w:t xml:space="preserve"> (GCIP), implemented by TÜBİTAK in cooperation with UNIDO, with a budget of USD 18.8 million. Internationalization efforts, including the </w:t>
      </w:r>
      <w:proofErr w:type="spellStart"/>
      <w:r w:rsidRPr="00087A1D">
        <w:t>Türkiye</w:t>
      </w:r>
      <w:proofErr w:type="spellEnd"/>
      <w:r w:rsidRPr="00087A1D">
        <w:t xml:space="preserve"> Tech Visa Program and events like “Take Off Istanbul,” aim to attract foreign entrepreneurs and strengthen global networks, while financing tools such as the Technology and Innovation Fund mobilize significant investment (USD 589 mil</w:t>
      </w:r>
      <w:r w:rsidR="00E32C18">
        <w:t>l</w:t>
      </w:r>
      <w:r w:rsidRPr="00087A1D">
        <w:t xml:space="preserve">ion), particularly in artificial intelligence and financial technologies. Support mechanisms are provided through programs of the Ministry of Industry and Technology, KOSGEB, and TÜBİTAK, including training and financial support. KOSGEB’s Entrepreneurship Program has reached over 2.4 million individuals, while financial supports have exceeded TRY 7.6 billion for more than 204,000 enterprises. Additional initiatives such as TÜBİTAK BİGG and the </w:t>
      </w:r>
      <w:proofErr w:type="spellStart"/>
      <w:r w:rsidRPr="00087A1D">
        <w:t>Turcorn</w:t>
      </w:r>
      <w:proofErr w:type="spellEnd"/>
      <w:r w:rsidRPr="00087A1D">
        <w:t xml:space="preserve"> 100 Program further strengthen the ecosystem. </w:t>
      </w:r>
      <w:proofErr w:type="spellStart"/>
      <w:r w:rsidRPr="00087A1D">
        <w:t>Technoparks</w:t>
      </w:r>
      <w:proofErr w:type="spellEnd"/>
      <w:r w:rsidRPr="00087A1D">
        <w:t xml:space="preserve"> and R&amp;D centers, supported by TRY 13.6 billion in infrastructure incentives, have produced around 17,000 patents, while venture capital funds have grown to USD 1.5 billion. Ankara</w:t>
      </w:r>
      <w:r w:rsidRPr="00087A1D">
        <w:rPr>
          <w:lang w:val="en-GB"/>
        </w:rPr>
        <w:t xml:space="preserve">’s entrepreneurship and innovation policies provide effective mechanisms that accelerate economic transformation, capitalize on global opportunities by focusing on green technologies, and strongly support the goal of positioning </w:t>
      </w:r>
      <w:r w:rsidRPr="00087A1D">
        <w:t xml:space="preserve">it </w:t>
      </w:r>
      <w:r w:rsidRPr="00087A1D">
        <w:rPr>
          <w:lang w:val="en-GB"/>
        </w:rPr>
        <w:t>as a regional innovation hub.</w:t>
      </w:r>
    </w:p>
    <w:p w14:paraId="1B344420" w14:textId="780A6E13" w:rsidR="00E92AD5" w:rsidRDefault="00E92AD5" w:rsidP="00E92AD5">
      <w:pPr>
        <w:pStyle w:val="NormalWeb"/>
        <w:spacing w:line="360" w:lineRule="auto"/>
        <w:ind w:firstLine="720"/>
        <w:jc w:val="both"/>
      </w:pPr>
      <w:r w:rsidRPr="00087A1D">
        <w:rPr>
          <w:b/>
        </w:rPr>
        <w:t>Athens</w:t>
      </w:r>
      <w:bookmarkStart w:id="2" w:name="_Hlk225250436"/>
      <w:r w:rsidR="00352EE1">
        <w:rPr>
          <w:b/>
        </w:rPr>
        <w:t xml:space="preserve"> </w:t>
      </w:r>
      <w:r w:rsidRPr="00087A1D">
        <w:t>is a center for innovation and entrepreneurship and plays a crucial role in shaping research and innovation landscape. It serves as a focal point for supporting research, start-ups, and innovative enterprises, through targeted</w:t>
      </w:r>
      <w:r w:rsidRPr="00B37E39">
        <w:rPr>
          <w:color w:val="FF0000"/>
        </w:rPr>
        <w:t xml:space="preserve"> </w:t>
      </w:r>
      <w:r w:rsidR="00BB6092" w:rsidRPr="00BB6092">
        <w:t>E</w:t>
      </w:r>
      <w:r w:rsidRPr="00087A1D">
        <w:t>uropean</w:t>
      </w:r>
      <w:r w:rsidR="00BB6092">
        <w:t xml:space="preserve"> and public </w:t>
      </w:r>
      <w:r w:rsidRPr="00087A1D">
        <w:t>initiatives, contributing to sustainable economic growth, enhanced competitiveness, and stronger international collaboration.</w:t>
      </w:r>
      <w:bookmarkEnd w:id="2"/>
      <w:r w:rsidR="00F843C9">
        <w:t xml:space="preserve"> </w:t>
      </w:r>
      <w:r w:rsidRPr="00087A1D">
        <w:t xml:space="preserve">The initiative </w:t>
      </w:r>
      <w:r w:rsidRPr="00087A1D">
        <w:rPr>
          <w:rStyle w:val="Strong"/>
          <w:rFonts w:eastAsiaTheme="majorEastAsia"/>
        </w:rPr>
        <w:t>“</w:t>
      </w:r>
      <w:r w:rsidRPr="00087A1D">
        <w:rPr>
          <w:rStyle w:val="Strong"/>
          <w:rFonts w:eastAsiaTheme="majorEastAsia"/>
          <w:b w:val="0"/>
        </w:rPr>
        <w:t>Research – Innovate</w:t>
      </w:r>
      <w:r w:rsidRPr="00087A1D">
        <w:rPr>
          <w:rStyle w:val="Strong"/>
          <w:rFonts w:eastAsiaTheme="majorEastAsia"/>
        </w:rPr>
        <w:t>”</w:t>
      </w:r>
      <w:r w:rsidRPr="00087A1D">
        <w:t xml:space="preserve"> is a €300 million </w:t>
      </w:r>
      <w:proofErr w:type="spellStart"/>
      <w:r w:rsidRPr="00087A1D">
        <w:t>programme</w:t>
      </w:r>
      <w:proofErr w:type="spellEnd"/>
      <w:r w:rsidRPr="00087A1D">
        <w:t xml:space="preserve"> designed to bridge research and innovation with entrepreneurship, aiming to enhance business competitiveness and productivity. It primarily supports enterprises, start-ups, and collaborations between companies and research organizations through four interventions: in-house Research and Development (R&amp;D) by enterprises, partnerships between enterprises and research institutions, validation and deployment of research results, and support for companies awarded the Horizon “Seal of Excellence”. To date, 171 projects have been approved, involving 238 enterprises and more than €81.6 million in public funding.</w:t>
      </w:r>
      <w:r>
        <w:t xml:space="preserve"> </w:t>
      </w:r>
      <w:r w:rsidRPr="00087A1D">
        <w:t xml:space="preserve">In this framework, Athens actively participates in European and international research and innovation schemes that strongly benefit innovative SMEs and start-ups. These include Horizon 2020 Seal of Excellence actions, bilateral research and technological collaborations, ERANETs, PRIMA for Mediterranean sustainability challenges, CHIPS Joint Undertaking for electronic systems, </w:t>
      </w:r>
      <w:proofErr w:type="spellStart"/>
      <w:r w:rsidRPr="00087A1D">
        <w:t>Biodiversa</w:t>
      </w:r>
      <w:proofErr w:type="spellEnd"/>
      <w:r w:rsidRPr="00087A1D">
        <w:t>+ for biodiversity research, Innovative SMEs actions, and the High Performance, Computing Joint Undertaking. These initiatives altogether strengthen international networking, promote technology development in strategic sectors, and help Greek innovations excel and access new markets.</w:t>
      </w:r>
      <w:r>
        <w:t xml:space="preserve"> </w:t>
      </w:r>
      <w:r w:rsidRPr="00087A1D">
        <w:t xml:space="preserve">Additionally, tax incentives encourage both private R&amp;D investment, allowing enterprises to deduct up to 200–220% of research expenses, and Angel Investors as they benefit from income tax deductions equal to 50% of their investment in start-ups. Another initiative worth mentioning, is the </w:t>
      </w:r>
      <w:proofErr w:type="spellStart"/>
      <w:r w:rsidRPr="00087A1D">
        <w:t>Equifund</w:t>
      </w:r>
      <w:proofErr w:type="spellEnd"/>
      <w:r w:rsidRPr="00087A1D">
        <w:t xml:space="preserve"> and the </w:t>
      </w:r>
      <w:proofErr w:type="spellStart"/>
      <w:r w:rsidRPr="00087A1D">
        <w:t>Equifund</w:t>
      </w:r>
      <w:proofErr w:type="spellEnd"/>
      <w:r w:rsidRPr="00087A1D">
        <w:t xml:space="preserve"> II, which are venture capital tools and together, provide over €460 million to support companies at all stages of maturity, with a strong focus on start-ups and scale-ups.</w:t>
      </w:r>
      <w:r>
        <w:t xml:space="preserve"> The</w:t>
      </w:r>
      <w:r w:rsidRPr="00087A1D">
        <w:t xml:space="preserve"> National Registry of Start-ups “Elevate Greece”, supports more than 800 registered start-ups through visibility, networking, and targeted funding measures. Innovation Clusters and Competence Centers bring together enterprises, universities, and research organizations to accelerate knowledge transfer, technology commercialization, and the development of internationally competitive products and services. These initiatives form a comprehensive framework connecting research excellence with innovation, and start-up growth.</w:t>
      </w:r>
    </w:p>
    <w:p w14:paraId="7BE9C99C" w14:textId="77777777" w:rsidR="00B37E39" w:rsidRPr="00087A1D" w:rsidRDefault="00B37E39" w:rsidP="00E92AD5">
      <w:pPr>
        <w:pStyle w:val="NormalWeb"/>
        <w:spacing w:line="360" w:lineRule="auto"/>
        <w:ind w:firstLine="720"/>
        <w:jc w:val="both"/>
      </w:pPr>
    </w:p>
    <w:p w14:paraId="3F264D7A" w14:textId="529E3B9B" w:rsidR="00E92AD5" w:rsidRPr="00087A1D" w:rsidRDefault="00E92AD5" w:rsidP="00E92AD5">
      <w:pPr>
        <w:pStyle w:val="NormalWeb"/>
        <w:spacing w:line="360" w:lineRule="auto"/>
        <w:jc w:val="both"/>
      </w:pPr>
      <w:r w:rsidRPr="00087A1D">
        <w:rPr>
          <w:b/>
        </w:rPr>
        <w:t>Belgrade</w:t>
      </w:r>
      <w:r w:rsidR="00352EE1">
        <w:rPr>
          <w:b/>
        </w:rPr>
        <w:t xml:space="preserve"> </w:t>
      </w:r>
      <w:r w:rsidRPr="00087A1D">
        <w:t>entrepreneurship has become increasingly popular over the past several years, supported by various initiatives, programs, and a growing number of start-up incubators and accelerators. However, beginners in business still face key challenges, including limited access to finance, bureaucratic barriers, and an uncertain business environment. According to 2024 data, there are 368,893 registered micro, small, and medium-sized enterprises and entrepreneurs, with around 25,000 new businesses established-an increase compared to previous years. Men represent 65–70% of new entrepreneurs, while women account for 30–35%, with growing participation, particularly in creative industries and services. Most new entrepreneurs are aged 30–45, though there is a rising number of young entrepreneurs under 30 who rely on digital technologies and innovative models. Businesses are most commonly established in IT, services, manufacturing and crafts, and creative industries. Due to the limited support from the banking sector, public institutions introduced targeted financial support for beginners in business in 2016 through cooperation between the Ministry of Economy and the Development Fund. This program has been continuously improved by simplifying procedures, reducing interest rates, and expanding eligibility, especially for young entrepreneurs. By 2025, beginners can receive up to 40% of funding as non-repayable support, and up to 50% for young entrepreneurs. Since its introduction, the program has supported 1,910 businesses with around 1.56 billion RSD in grants, generating total investments of 4.95 billion RSD. Additional programs have also supported young entrepreneurs, including those in municipalities with extremely low natural population growth, with loans totaling 1 billion RSD for the entire Program. Alongside financial support, beginners receive non-financial assistance through accredited regional development agencies, including training, mentoring, and help with applications and business development. In 2024</w:t>
      </w:r>
      <w:r>
        <w:t xml:space="preserve"> -</w:t>
      </w:r>
      <w:r w:rsidRPr="00087A1D">
        <w:t xml:space="preserve"> 2,120 persons completed training for starting a business. Within the Strategy for the Development of Small and Medium-Sized Enterprises and Entrepreneurship for the period from 2023 to 2027, the Ministry of Economy envisaged a special measure to encourage entrepreneurial spirit and support beginners in business, through which the continuation of implementation and strengthening of financial and non-financial support programs for beginners in business is envisaged. </w:t>
      </w:r>
    </w:p>
    <w:p w14:paraId="3B771098" w14:textId="3DF03575" w:rsidR="00E92AD5" w:rsidRPr="00087A1D" w:rsidRDefault="00E92AD5" w:rsidP="00E92AD5">
      <w:pPr>
        <w:pStyle w:val="NormalWeb"/>
        <w:spacing w:before="0" w:beforeAutospacing="0" w:after="240" w:afterAutospacing="0" w:line="360" w:lineRule="auto"/>
        <w:jc w:val="both"/>
      </w:pPr>
      <w:r w:rsidRPr="00087A1D">
        <w:rPr>
          <w:b/>
        </w:rPr>
        <w:t xml:space="preserve">Bucharest </w:t>
      </w:r>
      <w:r w:rsidRPr="00087A1D">
        <w:rPr>
          <w:lang w:val="en-GB"/>
        </w:rPr>
        <w:t xml:space="preserve">has deployed a number of programs meant to </w:t>
      </w:r>
      <w:r w:rsidRPr="00087A1D">
        <w:rPr>
          <w:shd w:val="clear" w:color="auto" w:fill="FFFFFF"/>
        </w:rPr>
        <w:t>accelerate SME growth</w:t>
      </w:r>
      <w:r w:rsidRPr="00087A1D">
        <w:rPr>
          <w:lang w:val="en-GB"/>
        </w:rPr>
        <w:t xml:space="preserve"> </w:t>
      </w:r>
      <w:r w:rsidRPr="00087A1D">
        <w:rPr>
          <w:shd w:val="clear" w:color="auto" w:fill="FFFFFF"/>
        </w:rPr>
        <w:t>and digital transformation</w:t>
      </w:r>
      <w:r w:rsidRPr="00087A1D">
        <w:rPr>
          <w:lang w:val="en-GB"/>
        </w:rPr>
        <w:t xml:space="preserve">. </w:t>
      </w:r>
      <w:r w:rsidRPr="00087A1D">
        <w:rPr>
          <w:shd w:val="clear" w:color="auto" w:fill="FFFFFF"/>
        </w:rPr>
        <w:t>Guided by the </w:t>
      </w:r>
      <w:r w:rsidRPr="00087A1D">
        <w:rPr>
          <w:bCs/>
          <w:lang w:val="en-GB"/>
        </w:rPr>
        <w:t>National Strategy for SMEs (2021-2027)</w:t>
      </w:r>
      <w:r w:rsidRPr="00087A1D">
        <w:rPr>
          <w:lang w:val="en-GB"/>
        </w:rPr>
        <w:t>, these initiatives focus on three pillars: streamlining SMEs' access to financing, driving digitization and providing support for internationalization and exports.</w:t>
      </w:r>
      <w:r w:rsidRPr="00087A1D">
        <w:t xml:space="preserve"> </w:t>
      </w:r>
      <w:r w:rsidRPr="00087A1D">
        <w:rPr>
          <w:bCs/>
          <w:lang w:val="en-GB"/>
        </w:rPr>
        <w:t>The Program for accelerating the development of small and medium-sized enterprises</w:t>
      </w:r>
      <w:r w:rsidRPr="00087A1D">
        <w:rPr>
          <w:lang w:val="en-GB"/>
        </w:rPr>
        <w:t>, launched in December 2023, aims to increase the volume of activities and the competitiveness of SMEs in eligible sectors such as construction, IT services, professional activities, tourism and human health, by granting non-reimbursable financing of up to 50% of the value of eligible expenses, within the total budget of over 10 mil euro.</w:t>
      </w:r>
      <w:r w:rsidRPr="00087A1D">
        <w:t xml:space="preserve"> </w:t>
      </w:r>
      <w:r w:rsidRPr="00087A1D">
        <w:rPr>
          <w:lang w:val="en-GB"/>
        </w:rPr>
        <w:t>Also, the Program "</w:t>
      </w:r>
      <w:r w:rsidRPr="00087A1D">
        <w:rPr>
          <w:bCs/>
          <w:lang w:val="en-GB"/>
        </w:rPr>
        <w:t>Strengthening SMEs through improved access to finance</w:t>
      </w:r>
      <w:r w:rsidRPr="00087A1D">
        <w:rPr>
          <w:lang w:val="en-GB"/>
        </w:rPr>
        <w:t xml:space="preserve">", launched by the Ministry of Economy, Digitalization, Entrepreneurship and Tourism, aims to support the green and digital transformation of the Romanian manufacturing industry, through a combined financial instrument of grants and credits, with a focus on the digitization of production processes, energy efficiency and increased productivity at the level of beneficiary companies. An allocated budget of about 57 mil. Euros is covered through the Swiss-Romanian Cooperation Program, in proportion of de 70 %, (40 mil Euros) and 30 % from budgetary funds. </w:t>
      </w:r>
      <w:r w:rsidRPr="00087A1D">
        <w:t xml:space="preserve"> Another major initiative is the Start-Up Nation Program, which promotes the creation and development of new enterprises by enhancing entrepreneurial skills, supporting SME establishment, fostering sustainable and digital growth, and generating employment. Complementing this, the 2024 edition of the National Multiannual Program for Women Entrepreneur supports female-led businesses, with a €40 million budget targeting 1,000 companies. The previous edition in 2022 attracted strong interest, with over 9,500 applicants. In the field of research and innovation, the National Strategy for Research, Innovation and Smart Specialization (2022–2027) aims to strengthen collaboration between research institutions and the private sector, boost productivity, and attract and retain talent. Ten funding programs with a total budget of €12 billion by 2030 support these objectives. Additional measures include state aid schemes and tax incentives such as a 50% deduction of R&amp;D expenses and income tax exemptions for researchers, creating a supportive environment for innovation and business development. </w:t>
      </w:r>
      <w:r w:rsidRPr="00087A1D">
        <w:rPr>
          <w:lang w:val="en-GB"/>
        </w:rPr>
        <w:t>Against the background of these developments, multiple opportunities for regional cooperation are emerging in which Romania can play an active role. The development of 5G networks and roaming mechanisms, the setting up of regional data and cloud centres, the strengthening of competence centres and Digital Innovation Hubs, as well as the formation of regional cybersecurity alliances can help to reduce fragmentation and increase the competitiveness of the EEA region. These forms of cooperation will support both start-ups and research and development initiatives.</w:t>
      </w:r>
      <w:r w:rsidRPr="00087A1D">
        <w:t xml:space="preserve"> </w:t>
      </w:r>
      <w:r w:rsidRPr="00087A1D">
        <w:rPr>
          <w:lang w:val="en-GB"/>
        </w:rPr>
        <w:t>Bucharest wants to be an active player in strengthening the regional dimension of innovation policies. The creation of a regional digitalisation fund for SMEs could directly address the problem of lack of funding and facilitate the uptake of digital solutions at scale. The launch of an SEE Digital Skills Network will also help reducing skills shortages, limiting the migration of IT talent and creating a solid foundation for the development of start-ups, research, development and innovation in South-East Europe.</w:t>
      </w:r>
    </w:p>
    <w:p w14:paraId="61C477CD" w14:textId="614C85D6" w:rsidR="00E92AD5" w:rsidRPr="00087A1D" w:rsidRDefault="00E92AD5" w:rsidP="00E92AD5">
      <w:pPr>
        <w:pStyle w:val="NormalWeb"/>
        <w:spacing w:line="360" w:lineRule="auto"/>
        <w:jc w:val="both"/>
      </w:pPr>
      <w:r w:rsidRPr="00087A1D">
        <w:rPr>
          <w:b/>
        </w:rPr>
        <w:t>Chisinau</w:t>
      </w:r>
      <w:r w:rsidRPr="00087A1D">
        <w:t xml:space="preserve"> the Ministry of Economic Development and Digitalization plays a central role in shaping policies in information technology, the digital economy, public service digitalization, and cybersecurity, while aligning the regulatory framework with EU standards. The ICT sector has become a major driver of economic growth, employing over 35,400 people and contributing 8.3% of GDP. The IT industry alone accounts for 5.3% of GDP, 11% of total exports, and nearly 25% of service exports, demonstrating strong and sustained growth. The Digital Transformation Strategy, adopted in 2023, provides a citizen-centered vision for sustainable development and alignment with European digital policies. Its 2025–2027 implementation program focuses on building a resilient digital economy, modernizing government infrastructure, improving digital literacy, and increasing the adoption of ICT solutions. Innovation is further supported through the 2025–2030 Program for Digital Innovations and Technological Start</w:t>
      </w:r>
      <w:r w:rsidR="00F843C9">
        <w:t>-</w:t>
      </w:r>
      <w:r w:rsidRPr="00087A1D">
        <w:t>ups,</w:t>
      </w:r>
      <w:r w:rsidR="00F843C9">
        <w:t xml:space="preserve"> </w:t>
      </w:r>
      <w:r w:rsidRPr="00087A1D">
        <w:t xml:space="preserve">which build on precious success by supporting </w:t>
      </w:r>
      <w:r w:rsidRPr="00087A1D">
        <w:rPr>
          <w:lang w:val="en-GB"/>
        </w:rPr>
        <w:t>34 innovative companies from over 180 financing projects with grants worth over MDL 14 million. In this regard the new program will offer differentiated grants depending on the stage of start</w:t>
      </w:r>
      <w:r w:rsidR="00F843C9">
        <w:rPr>
          <w:lang w:val="en-GB"/>
        </w:rPr>
        <w:t>-</w:t>
      </w:r>
      <w:r w:rsidRPr="00087A1D">
        <w:rPr>
          <w:lang w:val="en-GB"/>
        </w:rPr>
        <w:t xml:space="preserve">up development: </w:t>
      </w:r>
      <w:proofErr w:type="spellStart"/>
      <w:r w:rsidRPr="00087A1D">
        <w:rPr>
          <w:lang w:val="en-GB"/>
        </w:rPr>
        <w:t>preSEED</w:t>
      </w:r>
      <w:proofErr w:type="spellEnd"/>
      <w:r w:rsidRPr="00087A1D">
        <w:rPr>
          <w:lang w:val="en-GB"/>
        </w:rPr>
        <w:t xml:space="preserve"> (up to MDL 500 thousand), SEED (up to MDL 2 million). The start</w:t>
      </w:r>
      <w:r w:rsidR="00F843C9">
        <w:rPr>
          <w:lang w:val="en-GB"/>
        </w:rPr>
        <w:t>-</w:t>
      </w:r>
      <w:r w:rsidRPr="00087A1D">
        <w:rPr>
          <w:lang w:val="en-GB"/>
        </w:rPr>
        <w:t>up ecosystem has recorded constant growth in the last three years. In 2024 alone, Moldovan start</w:t>
      </w:r>
      <w:r w:rsidR="00F843C9">
        <w:rPr>
          <w:lang w:val="en-GB"/>
        </w:rPr>
        <w:t>-</w:t>
      </w:r>
      <w:r w:rsidRPr="00087A1D">
        <w:rPr>
          <w:lang w:val="en-GB"/>
        </w:rPr>
        <w:t xml:space="preserve">ups generated over USD 40 million and created over 1,000 jobs – figures that confirm the potential of this sector. An important pillar is </w:t>
      </w:r>
      <w:r w:rsidRPr="00087A1D">
        <w:t>the</w:t>
      </w:r>
      <w:r w:rsidRPr="00087A1D">
        <w:rPr>
          <w:lang w:val="en-GB"/>
        </w:rPr>
        <w:t xml:space="preserve"> accession to the Digital Europe Program, which support the digital innovation and the digital transformation of enterprises and public administration. On 30 May 2024, the Parliament voted Law No. 128 of 30.05.2024 on the ratification of the Agreement between </w:t>
      </w:r>
      <w:r w:rsidR="002E602C">
        <w:rPr>
          <w:lang w:val="en-GB"/>
        </w:rPr>
        <w:t>Chisinau</w:t>
      </w:r>
      <w:r w:rsidRPr="00087A1D">
        <w:rPr>
          <w:lang w:val="en-GB"/>
        </w:rPr>
        <w:t xml:space="preserve">, on the one hand, and the European Union, on the other hand, regarding the participation </w:t>
      </w:r>
      <w:r w:rsidR="002E602C">
        <w:rPr>
          <w:lang w:val="en-GB"/>
        </w:rPr>
        <w:t xml:space="preserve">in </w:t>
      </w:r>
      <w:r w:rsidRPr="00087A1D">
        <w:rPr>
          <w:lang w:val="en-GB"/>
        </w:rPr>
        <w:t>the Digital Europe Program (2021-2027), signed on 19 February 2024 in Brussels.</w:t>
      </w:r>
      <w:r w:rsidRPr="00087A1D">
        <w:t xml:space="preserve"> Recent progress in the IT industry has been driven by supportive state policies, particularly through the virtual IT Park. Its operation has been extended until 2035, alongside a guaranteed 7% flat tax to ensure stability and attract investment. The park currently hosts 2,764 companies with over 25,700 employees and a projected income of MDL 16.5 billion for 2025, including 363 foreign-owned firms from 43 countries, with the majority established after the park’s launch. Chisinau has the necessary foundations for developing a digital economy, with a focus on strengthening the local IT sector, supporting globally oriented startups, improving ICT infrastructure, and expanding e-commerce. Efforts are directed toward enhancing the regulatory framework, accelerating digitalization, and advancing research and innovation ecosystems. As a result, digitalizing public services and integrating the business environment into the EU digital market.</w:t>
      </w:r>
    </w:p>
    <w:p w14:paraId="7F09E06D" w14:textId="4F93E2D7" w:rsidR="00E92AD5" w:rsidRPr="00E92AD5" w:rsidRDefault="00E92AD5" w:rsidP="00E92AD5">
      <w:pPr>
        <w:spacing w:after="120" w:line="360" w:lineRule="auto"/>
        <w:jc w:val="both"/>
        <w:rPr>
          <w:rFonts w:ascii="Times New Roman" w:hAnsi="Times New Roman" w:cs="Times New Roman"/>
          <w:sz w:val="24"/>
          <w:szCs w:val="24"/>
        </w:rPr>
      </w:pPr>
      <w:r w:rsidRPr="00087A1D">
        <w:rPr>
          <w:rFonts w:ascii="Times New Roman" w:hAnsi="Times New Roman" w:cs="Times New Roman"/>
          <w:b/>
          <w:sz w:val="24"/>
          <w:szCs w:val="24"/>
          <w:shd w:val="clear" w:color="auto" w:fill="FFFFFF"/>
        </w:rPr>
        <w:t>Skopje</w:t>
      </w:r>
      <w:r w:rsidR="00352EE1">
        <w:rPr>
          <w:rFonts w:ascii="Times New Roman" w:hAnsi="Times New Roman" w:cs="Times New Roman"/>
          <w:sz w:val="24"/>
          <w:szCs w:val="24"/>
          <w:shd w:val="clear" w:color="auto" w:fill="FFFFFF"/>
        </w:rPr>
        <w:t xml:space="preserve"> </w:t>
      </w:r>
      <w:r w:rsidRPr="00087A1D">
        <w:rPr>
          <w:rFonts w:ascii="Times New Roman" w:hAnsi="Times New Roman" w:cs="Times New Roman"/>
          <w:sz w:val="24"/>
          <w:szCs w:val="24"/>
        </w:rPr>
        <w:t>approaches the development of start-ups, research and development (R&amp;D), and innovation policy as an integral part of its broader European integration agenda and its commitment to strengthening regional cooperation in South-East Europe. In a region characterized by shared economic challenges, similar development trajectories, and significant human capital potential,</w:t>
      </w:r>
      <w:r w:rsidRPr="00B37E39">
        <w:rPr>
          <w:rFonts w:ascii="Times New Roman" w:hAnsi="Times New Roman" w:cs="Times New Roman"/>
          <w:color w:val="FF0000"/>
          <w:sz w:val="24"/>
          <w:szCs w:val="24"/>
        </w:rPr>
        <w:t xml:space="preserve"> </w:t>
      </w:r>
      <w:r w:rsidRPr="00087A1D">
        <w:rPr>
          <w:rFonts w:ascii="Times New Roman" w:hAnsi="Times New Roman" w:cs="Times New Roman"/>
          <w:sz w:val="24"/>
          <w:szCs w:val="24"/>
        </w:rPr>
        <w:t xml:space="preserve">innovation policies cannot be viewed in isolation. Rather, they must be designed to complement and reinforce regional and European initiatives, ensuring that local ecosystems are connected to wider markets, infrastructure networks, and funding mechanisms. The Ministry of Digital Transformation has established a comprehensive strategic framework fully aligned with the European Union's vision for the Digital Decade through the </w:t>
      </w:r>
      <w:r w:rsidRPr="00087A1D">
        <w:rPr>
          <w:rFonts w:ascii="Times New Roman" w:hAnsi="Times New Roman" w:cs="Times New Roman"/>
          <w:i/>
          <w:iCs/>
          <w:sz w:val="24"/>
          <w:szCs w:val="24"/>
        </w:rPr>
        <w:t>ICT Development Strategy SMART/MK 2030</w:t>
      </w:r>
      <w:r w:rsidRPr="00087A1D">
        <w:rPr>
          <w:rFonts w:ascii="Times New Roman" w:hAnsi="Times New Roman" w:cs="Times New Roman"/>
          <w:sz w:val="24"/>
          <w:szCs w:val="24"/>
        </w:rPr>
        <w:t xml:space="preserve"> and its corresponding action plan. This Strategy focuses on accelerating the digital transformation of the economy and public administration, with particular emphasis on Artificial Intelligence (AI) as a key driver of innovation in the start-up and technology sectors. A strategic leap forward is represented by the establishment of the </w:t>
      </w:r>
      <w:r w:rsidRPr="00087A1D">
        <w:rPr>
          <w:rFonts w:ascii="Times New Roman" w:hAnsi="Times New Roman" w:cs="Times New Roman"/>
          <w:bCs/>
          <w:sz w:val="24"/>
          <w:szCs w:val="24"/>
        </w:rPr>
        <w:t>National Artificial Intelligence Center "VEZILKA,"</w:t>
      </w:r>
      <w:r w:rsidRPr="00087A1D">
        <w:rPr>
          <w:rFonts w:ascii="Times New Roman" w:hAnsi="Times New Roman" w:cs="Times New Roman"/>
          <w:sz w:val="24"/>
          <w:szCs w:val="24"/>
        </w:rPr>
        <w:t xml:space="preserve"> a project valued at approximately €6 million and implemented with EU support through Horizon Europe and </w:t>
      </w:r>
      <w:proofErr w:type="spellStart"/>
      <w:r w:rsidRPr="00087A1D">
        <w:rPr>
          <w:rFonts w:ascii="Times New Roman" w:hAnsi="Times New Roman" w:cs="Times New Roman"/>
          <w:sz w:val="24"/>
          <w:szCs w:val="24"/>
        </w:rPr>
        <w:t>EuroHPC</w:t>
      </w:r>
      <w:proofErr w:type="spellEnd"/>
      <w:r w:rsidRPr="00087A1D">
        <w:rPr>
          <w:rFonts w:ascii="Times New Roman" w:hAnsi="Times New Roman" w:cs="Times New Roman"/>
          <w:sz w:val="24"/>
          <w:szCs w:val="24"/>
        </w:rPr>
        <w:t xml:space="preserve">. Coordinated by the Faculty of Computer Science and Engineering, the Center serves as a crucial bridge between academia, industry, and European technological infrastructure. A major institutional reform has been the creation of the </w:t>
      </w:r>
      <w:r w:rsidRPr="00087A1D">
        <w:rPr>
          <w:rFonts w:ascii="Times New Roman" w:hAnsi="Times New Roman" w:cs="Times New Roman"/>
          <w:bCs/>
          <w:sz w:val="24"/>
          <w:szCs w:val="24"/>
        </w:rPr>
        <w:t>Agency for Innovation, Scientific and Technological Development and Entrepreneurship (INOVA)</w:t>
      </w:r>
      <w:r w:rsidRPr="00087A1D">
        <w:rPr>
          <w:rFonts w:ascii="Times New Roman" w:hAnsi="Times New Roman" w:cs="Times New Roman"/>
          <w:sz w:val="24"/>
          <w:szCs w:val="24"/>
        </w:rPr>
        <w:t xml:space="preserve"> in August 2025. Key financial instruments offered by INOVA include co-financed grants for start-ups and university spin-offs, commercialization grants and soft loans, support for business accelerators, technological extension services, targeted support for smart </w:t>
      </w:r>
      <w:proofErr w:type="spellStart"/>
      <w:r w:rsidRPr="00087A1D">
        <w:rPr>
          <w:rFonts w:ascii="Times New Roman" w:hAnsi="Times New Roman" w:cs="Times New Roman"/>
          <w:sz w:val="24"/>
          <w:szCs w:val="24"/>
        </w:rPr>
        <w:t>specialisation</w:t>
      </w:r>
      <w:proofErr w:type="spellEnd"/>
      <w:r w:rsidRPr="00087A1D">
        <w:rPr>
          <w:rFonts w:ascii="Times New Roman" w:hAnsi="Times New Roman" w:cs="Times New Roman"/>
          <w:sz w:val="24"/>
          <w:szCs w:val="24"/>
        </w:rPr>
        <w:t xml:space="preserve"> domains (particularly green and digital technologies), and organization of thematic challenges and hackathons. To date, 1,053 projects has been supported, mobilizing €132 million in total investment, consisting of €82 million in public support and €50 million in private co-financing. </w:t>
      </w:r>
      <w:r w:rsidRPr="00087A1D">
        <w:rPr>
          <w:rFonts w:ascii="Times New Roman" w:hAnsi="Times New Roman" w:cs="Times New Roman"/>
          <w:sz w:val="24"/>
          <w:szCs w:val="24"/>
          <w:lang w:val="en-GB"/>
        </w:rPr>
        <w:t>S</w:t>
      </w:r>
      <w:r w:rsidRPr="00087A1D">
        <w:rPr>
          <w:rFonts w:ascii="Times New Roman" w:hAnsi="Times New Roman" w:cs="Times New Roman"/>
          <w:sz w:val="24"/>
          <w:szCs w:val="24"/>
        </w:rPr>
        <w:t xml:space="preserve">tart-ups represent nearly 30% of all beneficiaries. The participation in </w:t>
      </w:r>
      <w:r w:rsidRPr="00087A1D">
        <w:rPr>
          <w:rFonts w:ascii="Times New Roman" w:hAnsi="Times New Roman" w:cs="Times New Roman"/>
          <w:bCs/>
          <w:sz w:val="24"/>
          <w:szCs w:val="24"/>
        </w:rPr>
        <w:t>Horizon Europe</w:t>
      </w:r>
      <w:r w:rsidRPr="00087A1D">
        <w:rPr>
          <w:rFonts w:ascii="Times New Roman" w:hAnsi="Times New Roman" w:cs="Times New Roman"/>
          <w:sz w:val="24"/>
          <w:szCs w:val="24"/>
        </w:rPr>
        <w:t xml:space="preserve"> demonstrates tangible results: 64 grant agreements have been signed to date, with a total EU contribution of €12.9 million, and notably, two-thirds of these projects are aligned with Smart</w:t>
      </w:r>
      <w:r w:rsidR="00352EE1">
        <w:rPr>
          <w:rFonts w:ascii="Times New Roman" w:hAnsi="Times New Roman" w:cs="Times New Roman"/>
          <w:sz w:val="24"/>
          <w:szCs w:val="24"/>
        </w:rPr>
        <w:t xml:space="preserve"> </w:t>
      </w:r>
      <w:proofErr w:type="spellStart"/>
      <w:r w:rsidRPr="00087A1D">
        <w:rPr>
          <w:rFonts w:ascii="Times New Roman" w:hAnsi="Times New Roman" w:cs="Times New Roman"/>
          <w:sz w:val="24"/>
          <w:szCs w:val="24"/>
        </w:rPr>
        <w:t>Specialisation</w:t>
      </w:r>
      <w:proofErr w:type="spellEnd"/>
      <w:r w:rsidRPr="00087A1D">
        <w:rPr>
          <w:rFonts w:ascii="Times New Roman" w:hAnsi="Times New Roman" w:cs="Times New Roman"/>
          <w:sz w:val="24"/>
          <w:szCs w:val="24"/>
        </w:rPr>
        <w:t xml:space="preserve"> priorities. </w:t>
      </w:r>
      <w:r w:rsidR="00F94E89">
        <w:rPr>
          <w:rFonts w:ascii="Times New Roman" w:hAnsi="Times New Roman" w:cs="Times New Roman"/>
          <w:sz w:val="24"/>
          <w:szCs w:val="24"/>
        </w:rPr>
        <w:t>P</w:t>
      </w:r>
      <w:r w:rsidRPr="00087A1D">
        <w:rPr>
          <w:rFonts w:ascii="Times New Roman" w:hAnsi="Times New Roman" w:cs="Times New Roman"/>
          <w:sz w:val="24"/>
          <w:szCs w:val="24"/>
        </w:rPr>
        <w:t>articipates</w:t>
      </w:r>
      <w:r w:rsidR="00F94E89">
        <w:rPr>
          <w:rFonts w:ascii="Times New Roman" w:hAnsi="Times New Roman" w:cs="Times New Roman"/>
          <w:sz w:val="24"/>
          <w:szCs w:val="24"/>
        </w:rPr>
        <w:t xml:space="preserve"> also extends</w:t>
      </w:r>
      <w:r w:rsidRPr="00087A1D">
        <w:rPr>
          <w:rFonts w:ascii="Times New Roman" w:hAnsi="Times New Roman" w:cs="Times New Roman"/>
          <w:sz w:val="24"/>
          <w:szCs w:val="24"/>
        </w:rPr>
        <w:t xml:space="preserve"> </w:t>
      </w:r>
      <w:r w:rsidR="00F94E89">
        <w:rPr>
          <w:rFonts w:ascii="Times New Roman" w:hAnsi="Times New Roman" w:cs="Times New Roman"/>
          <w:sz w:val="24"/>
          <w:szCs w:val="24"/>
        </w:rPr>
        <w:t xml:space="preserve">to </w:t>
      </w:r>
      <w:r w:rsidRPr="00087A1D">
        <w:rPr>
          <w:rFonts w:ascii="Times New Roman" w:hAnsi="Times New Roman" w:cs="Times New Roman"/>
          <w:sz w:val="24"/>
          <w:szCs w:val="24"/>
        </w:rPr>
        <w:t>90% of all COST Actions</w:t>
      </w:r>
      <w:r w:rsidR="00F94E89">
        <w:rPr>
          <w:rFonts w:ascii="Times New Roman" w:hAnsi="Times New Roman" w:cs="Times New Roman"/>
          <w:sz w:val="24"/>
          <w:szCs w:val="24"/>
        </w:rPr>
        <w:t>,</w:t>
      </w:r>
      <w:r w:rsidRPr="00087A1D">
        <w:rPr>
          <w:rFonts w:ascii="Times New Roman" w:hAnsi="Times New Roman" w:cs="Times New Roman"/>
          <w:sz w:val="24"/>
          <w:szCs w:val="24"/>
        </w:rPr>
        <w:t xml:space="preserve"> </w:t>
      </w:r>
      <w:r w:rsidR="00F94E89">
        <w:rPr>
          <w:rFonts w:ascii="Times New Roman" w:hAnsi="Times New Roman" w:cs="Times New Roman"/>
          <w:sz w:val="24"/>
          <w:szCs w:val="24"/>
        </w:rPr>
        <w:t>with</w:t>
      </w:r>
      <w:r w:rsidRPr="00087A1D">
        <w:rPr>
          <w:rFonts w:ascii="Times New Roman" w:hAnsi="Times New Roman" w:cs="Times New Roman"/>
          <w:sz w:val="24"/>
          <w:szCs w:val="24"/>
        </w:rPr>
        <w:t xml:space="preserve"> prominent governance roles</w:t>
      </w:r>
      <w:r w:rsidR="00F94E89">
        <w:rPr>
          <w:rFonts w:ascii="Times New Roman" w:hAnsi="Times New Roman" w:cs="Times New Roman"/>
          <w:sz w:val="24"/>
          <w:szCs w:val="24"/>
        </w:rPr>
        <w:t xml:space="preserve"> held</w:t>
      </w:r>
      <w:r w:rsidRPr="00087A1D">
        <w:rPr>
          <w:rFonts w:ascii="Times New Roman" w:hAnsi="Times New Roman" w:cs="Times New Roman"/>
          <w:sz w:val="24"/>
          <w:szCs w:val="24"/>
        </w:rPr>
        <w:t xml:space="preserve"> within the COST framework, further demonstrating its active engagement in pan-European research collaboration. Participation in the </w:t>
      </w:r>
      <w:r w:rsidRPr="00087A1D">
        <w:rPr>
          <w:rFonts w:ascii="Times New Roman" w:hAnsi="Times New Roman" w:cs="Times New Roman"/>
          <w:bCs/>
          <w:sz w:val="24"/>
          <w:szCs w:val="24"/>
        </w:rPr>
        <w:t xml:space="preserve">Digital Europe </w:t>
      </w:r>
      <w:proofErr w:type="spellStart"/>
      <w:r w:rsidRPr="00087A1D">
        <w:rPr>
          <w:rFonts w:ascii="Times New Roman" w:hAnsi="Times New Roman" w:cs="Times New Roman"/>
          <w:bCs/>
          <w:sz w:val="24"/>
          <w:szCs w:val="24"/>
        </w:rPr>
        <w:t>Programme</w:t>
      </w:r>
      <w:proofErr w:type="spellEnd"/>
      <w:r w:rsidRPr="00087A1D">
        <w:rPr>
          <w:rFonts w:ascii="Times New Roman" w:hAnsi="Times New Roman" w:cs="Times New Roman"/>
          <w:sz w:val="24"/>
          <w:szCs w:val="24"/>
        </w:rPr>
        <w:t xml:space="preserve"> further strengthens</w:t>
      </w:r>
      <w:r w:rsidR="00251774">
        <w:rPr>
          <w:rFonts w:ascii="Times New Roman" w:hAnsi="Times New Roman" w:cs="Times New Roman"/>
          <w:sz w:val="24"/>
          <w:szCs w:val="24"/>
        </w:rPr>
        <w:t xml:space="preserve"> </w:t>
      </w:r>
      <w:r w:rsidRPr="00087A1D">
        <w:rPr>
          <w:rFonts w:ascii="Times New Roman" w:hAnsi="Times New Roman" w:cs="Times New Roman"/>
          <w:sz w:val="24"/>
          <w:szCs w:val="24"/>
        </w:rPr>
        <w:t>capacities in supercomputing, artificial intelligence, cybersecurity, and advanced digital skills, while simultaneously bridging the gap between academic research and market application. Through mechanisms such as EDIH and the forthcoming AI infrastructure, digital transformation becomes accessible not only to large corporations but also to SMEs, start-ups, and public institutions. In conclusion</w:t>
      </w:r>
      <w:r w:rsidR="00F94E89">
        <w:rPr>
          <w:rFonts w:ascii="Times New Roman" w:hAnsi="Times New Roman" w:cs="Times New Roman"/>
          <w:sz w:val="24"/>
          <w:szCs w:val="24"/>
        </w:rPr>
        <w:t xml:space="preserve">, </w:t>
      </w:r>
      <w:r w:rsidR="00F94E89" w:rsidRPr="00087A1D">
        <w:rPr>
          <w:rFonts w:ascii="Times New Roman" w:hAnsi="Times New Roman" w:cs="Times New Roman"/>
          <w:sz w:val="24"/>
          <w:szCs w:val="24"/>
        </w:rPr>
        <w:t xml:space="preserve">innovation policy </w:t>
      </w:r>
      <w:r w:rsidR="00F94E89">
        <w:rPr>
          <w:rFonts w:ascii="Times New Roman" w:hAnsi="Times New Roman" w:cs="Times New Roman"/>
          <w:sz w:val="24"/>
          <w:szCs w:val="24"/>
        </w:rPr>
        <w:t xml:space="preserve">is viewed </w:t>
      </w:r>
      <w:r w:rsidRPr="00087A1D">
        <w:rPr>
          <w:rFonts w:ascii="Times New Roman" w:hAnsi="Times New Roman" w:cs="Times New Roman"/>
          <w:sz w:val="24"/>
          <w:szCs w:val="24"/>
        </w:rPr>
        <w:t>not merely as a development tool but as a component of a broader South</w:t>
      </w:r>
      <w:r w:rsidR="00607D76">
        <w:rPr>
          <w:rFonts w:ascii="Times New Roman" w:hAnsi="Times New Roman" w:cs="Times New Roman"/>
          <w:sz w:val="24"/>
          <w:szCs w:val="24"/>
        </w:rPr>
        <w:t xml:space="preserve"> </w:t>
      </w:r>
      <w:r w:rsidRPr="00087A1D">
        <w:rPr>
          <w:rFonts w:ascii="Times New Roman" w:hAnsi="Times New Roman" w:cs="Times New Roman"/>
          <w:sz w:val="24"/>
          <w:szCs w:val="24"/>
        </w:rPr>
        <w:t xml:space="preserve">East European innovation space. Through strategic alignment, institutional reform, infrastructure development, and active European engagement, </w:t>
      </w:r>
      <w:r w:rsidR="00F94E89">
        <w:rPr>
          <w:rFonts w:ascii="Times New Roman" w:hAnsi="Times New Roman" w:cs="Times New Roman"/>
          <w:sz w:val="24"/>
          <w:szCs w:val="24"/>
        </w:rPr>
        <w:t xml:space="preserve">efforts are directed towards </w:t>
      </w:r>
      <w:r w:rsidRPr="00087A1D">
        <w:rPr>
          <w:rFonts w:ascii="Times New Roman" w:hAnsi="Times New Roman" w:cs="Times New Roman"/>
          <w:sz w:val="24"/>
          <w:szCs w:val="24"/>
        </w:rPr>
        <w:t>contribut</w:t>
      </w:r>
      <w:r w:rsidR="00F94E89">
        <w:rPr>
          <w:rFonts w:ascii="Times New Roman" w:hAnsi="Times New Roman" w:cs="Times New Roman"/>
          <w:sz w:val="24"/>
          <w:szCs w:val="24"/>
        </w:rPr>
        <w:t>ing</w:t>
      </w:r>
      <w:r w:rsidRPr="00087A1D">
        <w:rPr>
          <w:rFonts w:ascii="Times New Roman" w:hAnsi="Times New Roman" w:cs="Times New Roman"/>
          <w:sz w:val="24"/>
          <w:szCs w:val="24"/>
        </w:rPr>
        <w:t xml:space="preserve"> to a mutually supportive regional system that provides equal access to knowledge, capital, infrastructure, and markets, thereby fostering smart, sustainable, and inclusive growth across the region.</w:t>
      </w:r>
    </w:p>
    <w:p w14:paraId="0B36EDDD" w14:textId="7FC83041" w:rsidR="00463216" w:rsidRDefault="005A1A79" w:rsidP="005A1A79">
      <w:pPr>
        <w:pStyle w:val="NormalWeb"/>
        <w:spacing w:line="360" w:lineRule="auto"/>
        <w:jc w:val="both"/>
      </w:pPr>
      <w:r>
        <w:rPr>
          <w:b/>
        </w:rPr>
        <w:t>Sofia</w:t>
      </w:r>
      <w:r w:rsidR="00352EE1">
        <w:rPr>
          <w:b/>
        </w:rPr>
        <w:t xml:space="preserve"> </w:t>
      </w:r>
      <w:r>
        <w:t xml:space="preserve">develops a consistent policy to support start-ups, research, development and innovation, with the Ministry of Innovation and Growth playing a leading role. By combining </w:t>
      </w:r>
      <w:r w:rsidR="0020264B">
        <w:t>public</w:t>
      </w:r>
      <w:r w:rsidRPr="00B37E39">
        <w:rPr>
          <w:color w:val="FF0000"/>
        </w:rPr>
        <w:t xml:space="preserve"> </w:t>
      </w:r>
      <w:proofErr w:type="spellStart"/>
      <w:r>
        <w:t>programmes</w:t>
      </w:r>
      <w:proofErr w:type="spellEnd"/>
      <w:r>
        <w:t xml:space="preserve"> and European funding, a stable environment for the development of innovative companies is being built. A significant instrument is the Fund of Funds, which manages nearly 1 billion EUR of public resources and attracts additional private investments through venture and equity funds. In recent years, Sofia has established itself as one of the leading </w:t>
      </w:r>
      <w:proofErr w:type="spellStart"/>
      <w:r>
        <w:t>centres</w:t>
      </w:r>
      <w:proofErr w:type="spellEnd"/>
      <w:r>
        <w:t xml:space="preserve"> for entrepreneurship in South-East Europe. In the period from 2020 to mid-2025, around 489 startups were supported, representing over 45 percent of all deals in the region. There are over 20 investment funds operating</w:t>
      </w:r>
      <w:r w:rsidR="00BE424E">
        <w:t xml:space="preserve">, </w:t>
      </w:r>
      <w:r>
        <w:t xml:space="preserve">with assets exceeding 600 million EUR, with a significant portion of investments directed towards information technology, fin-tech and high-tech solutions. Approximately 0.77–0.79 percent of the gross domestic product is invested in research and development, which remains below the European Union average of around 2.2 percent. To address this gap, measures are being taken to develop scientific infrastructure, create </w:t>
      </w:r>
      <w:proofErr w:type="spellStart"/>
      <w:r>
        <w:t>centres</w:t>
      </w:r>
      <w:proofErr w:type="spellEnd"/>
      <w:r>
        <w:t xml:space="preserve"> of excellence and competence, and promote cooperation between scientific organizations and business. In this regard, a</w:t>
      </w:r>
      <w:r w:rsidRPr="00B37E39">
        <w:rPr>
          <w:color w:val="FF0000"/>
        </w:rPr>
        <w:t xml:space="preserve"> </w:t>
      </w:r>
      <w:r>
        <w:t xml:space="preserve">system for technology transfer is being built with the aim of more effective commercialization of scientific results. Support for enterprises is implemented through </w:t>
      </w:r>
      <w:proofErr w:type="spellStart"/>
      <w:r>
        <w:t>programmes</w:t>
      </w:r>
      <w:proofErr w:type="spellEnd"/>
      <w:r>
        <w:t xml:space="preserve"> aimed at increasing competitiveness, digitalization and the implementation of innovations. Over 900 enterprises have already received funding for the development of innovation capacity, with the total amount of grant support amounting to approximately 170 million EUR. Financial instruments also cover areas such as green transformation, energy efficiency and the implementation of advanced technologies in industry. Within the framework of the financial instruments for the period 2021-2027, around 270 million EUR are foreseen for venture capital funds targeting start-ups and fast-growing companies at different stages of development, as well as approximately 360 million EUR in the form of guarantee instruments to support the competitiveness and digital and green transformation of enterprises. Additionally, a Technology Transfer Fund is being implemented with resources of approximately 57 million EUR, which aims to accelerate the transformation of scientific developments into marketable products and technologies.</w:t>
      </w:r>
    </w:p>
    <w:p w14:paraId="4B5EBD78" w14:textId="344D0EA0" w:rsidR="005A1A79" w:rsidRDefault="005A1A79" w:rsidP="005A1A79">
      <w:pPr>
        <w:pStyle w:val="NormalWeb"/>
        <w:spacing w:line="360" w:lineRule="auto"/>
        <w:jc w:val="both"/>
      </w:pPr>
      <w:r>
        <w:t>In conclusion, the analysis of the regional dimension of entrepreneurship and innovation policies in South-East Europe shows that the region has significant but still underutilized potential for economic modernization, increased competitiveness, and integration with the European Union. Entrepreneurship and research are emerging as key factors for creating high-value-added jobs, sustainable growth, and accelerating the digital and green transitions.</w:t>
      </w:r>
    </w:p>
    <w:p w14:paraId="0C978E19" w14:textId="67858AFB" w:rsidR="005A1A79" w:rsidRDefault="005A1A79" w:rsidP="005A1A79">
      <w:pPr>
        <w:pStyle w:val="NormalWeb"/>
        <w:spacing w:line="360" w:lineRule="auto"/>
        <w:jc w:val="both"/>
      </w:pPr>
      <w:r>
        <w:t xml:space="preserve">Differences in the development of innovation ecosystems, limited funding and fragmentation of markets highlight the need for a coordinated regional approach. It should build on </w:t>
      </w:r>
      <w:r w:rsidR="00451479">
        <w:t>existing framework</w:t>
      </w:r>
      <w:r w:rsidRPr="00B37E39">
        <w:rPr>
          <w:color w:val="FF0000"/>
        </w:rPr>
        <w:t xml:space="preserve"> </w:t>
      </w:r>
      <w:r>
        <w:t xml:space="preserve">by aligning priorities, exchanging good practices and </w:t>
      </w:r>
      <w:r w:rsidR="00451479">
        <w:t xml:space="preserve">machining more effective use of </w:t>
      </w:r>
      <w:r>
        <w:t xml:space="preserve">European and </w:t>
      </w:r>
      <w:r w:rsidR="00451479">
        <w:t xml:space="preserve">public </w:t>
      </w:r>
      <w:r>
        <w:t>resources.</w:t>
      </w:r>
    </w:p>
    <w:p w14:paraId="2D32FEF8" w14:textId="77777777" w:rsidR="005A1A79" w:rsidRDefault="005A1A79" w:rsidP="005A1A79">
      <w:pPr>
        <w:pStyle w:val="NormalWeb"/>
        <w:spacing w:line="360" w:lineRule="auto"/>
        <w:jc w:val="both"/>
      </w:pPr>
      <w:r>
        <w:t>Parliaments have an important role in the process - through legislative initiatives they ensure a stable and predictable regulatory framework. This contributes to convergence with European standards, increasing transparency and strengthening trust in institutions.</w:t>
      </w:r>
    </w:p>
    <w:sectPr w:rsidR="005A1A79" w:rsidSect="009B76F0">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A2C24" w14:textId="77777777" w:rsidR="00F20F5D" w:rsidRDefault="00F20F5D" w:rsidP="009B76F0">
      <w:pPr>
        <w:spacing w:after="0" w:line="240" w:lineRule="auto"/>
      </w:pPr>
      <w:r>
        <w:separator/>
      </w:r>
    </w:p>
  </w:endnote>
  <w:endnote w:type="continuationSeparator" w:id="0">
    <w:p w14:paraId="66826EF5" w14:textId="77777777" w:rsidR="00F20F5D" w:rsidRDefault="00F20F5D" w:rsidP="009B7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5465203"/>
      <w:docPartObj>
        <w:docPartGallery w:val="Page Numbers (Bottom of Page)"/>
        <w:docPartUnique/>
      </w:docPartObj>
    </w:sdtPr>
    <w:sdtEndPr>
      <w:rPr>
        <w:noProof/>
      </w:rPr>
    </w:sdtEndPr>
    <w:sdtContent>
      <w:p w14:paraId="14A1664D" w14:textId="02181FE9" w:rsidR="009B76F0" w:rsidRDefault="009B76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2355EF" w14:textId="77777777" w:rsidR="009B76F0" w:rsidRDefault="009B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82D70C" w14:textId="77777777" w:rsidR="00F20F5D" w:rsidRDefault="00F20F5D" w:rsidP="009B76F0">
      <w:pPr>
        <w:spacing w:after="0" w:line="240" w:lineRule="auto"/>
      </w:pPr>
      <w:r>
        <w:separator/>
      </w:r>
    </w:p>
  </w:footnote>
  <w:footnote w:type="continuationSeparator" w:id="0">
    <w:p w14:paraId="5B36849A" w14:textId="77777777" w:rsidR="00F20F5D" w:rsidRDefault="00F20F5D" w:rsidP="009B76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04D5"/>
    <w:multiLevelType w:val="multilevel"/>
    <w:tmpl w:val="1E40D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E9271C"/>
    <w:multiLevelType w:val="hybridMultilevel"/>
    <w:tmpl w:val="4D647A86"/>
    <w:lvl w:ilvl="0" w:tplc="2D7C3922">
      <w:start w:val="66"/>
      <w:numFmt w:val="bullet"/>
      <w:lvlText w:val="-"/>
      <w:lvlJc w:val="left"/>
      <w:pPr>
        <w:ind w:left="0" w:hanging="360"/>
      </w:pPr>
      <w:rPr>
        <w:rFonts w:ascii="Times New Roman" w:eastAsia="Times New Roman" w:hAnsi="Times New Roman" w:cs="Times New Roman" w:hint="default"/>
      </w:rPr>
    </w:lvl>
    <w:lvl w:ilvl="1" w:tplc="EDC2C16E">
      <w:start w:val="9"/>
      <w:numFmt w:val="bullet"/>
      <w:lvlText w:val="-"/>
      <w:lvlJc w:val="left"/>
      <w:pPr>
        <w:ind w:left="720" w:hanging="360"/>
      </w:pPr>
      <w:rPr>
        <w:rFonts w:ascii="Calibri" w:eastAsiaTheme="minorHAnsi" w:hAnsi="Calibri" w:cs="Calibri"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DA"/>
    <w:rsid w:val="000B751D"/>
    <w:rsid w:val="000F4A92"/>
    <w:rsid w:val="001B1F02"/>
    <w:rsid w:val="0020264B"/>
    <w:rsid w:val="00242B99"/>
    <w:rsid w:val="00251774"/>
    <w:rsid w:val="00283A0F"/>
    <w:rsid w:val="002E602C"/>
    <w:rsid w:val="002F466F"/>
    <w:rsid w:val="00305159"/>
    <w:rsid w:val="00352EE1"/>
    <w:rsid w:val="0036586A"/>
    <w:rsid w:val="004319D6"/>
    <w:rsid w:val="00451479"/>
    <w:rsid w:val="00463216"/>
    <w:rsid w:val="00554D42"/>
    <w:rsid w:val="00557963"/>
    <w:rsid w:val="00594C67"/>
    <w:rsid w:val="005A1A79"/>
    <w:rsid w:val="00607D76"/>
    <w:rsid w:val="006439FB"/>
    <w:rsid w:val="00693CC0"/>
    <w:rsid w:val="00730A9E"/>
    <w:rsid w:val="00763631"/>
    <w:rsid w:val="007E0BAC"/>
    <w:rsid w:val="00800D82"/>
    <w:rsid w:val="00830098"/>
    <w:rsid w:val="009179A8"/>
    <w:rsid w:val="009B76F0"/>
    <w:rsid w:val="00B37E39"/>
    <w:rsid w:val="00BB6092"/>
    <w:rsid w:val="00BE424E"/>
    <w:rsid w:val="00CC0261"/>
    <w:rsid w:val="00D54510"/>
    <w:rsid w:val="00DE21ED"/>
    <w:rsid w:val="00E32C18"/>
    <w:rsid w:val="00E92AD5"/>
    <w:rsid w:val="00EB5CB9"/>
    <w:rsid w:val="00ED624D"/>
    <w:rsid w:val="00EE38AB"/>
    <w:rsid w:val="00EF366D"/>
    <w:rsid w:val="00F17ADA"/>
    <w:rsid w:val="00F20F5D"/>
    <w:rsid w:val="00F843C9"/>
    <w:rsid w:val="00F94E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D8FA9"/>
  <w15:chartTrackingRefBased/>
  <w15:docId w15:val="{B4F07400-405C-4878-B9D9-0BEB0F0E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1A7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5A1A79"/>
    <w:rPr>
      <w:b/>
      <w:bCs/>
    </w:rPr>
  </w:style>
  <w:style w:type="character" w:styleId="Hyperlink">
    <w:name w:val="Hyperlink"/>
    <w:basedOn w:val="DefaultParagraphFont"/>
    <w:uiPriority w:val="99"/>
    <w:unhideWhenUsed/>
    <w:rsid w:val="005A1A79"/>
    <w:rPr>
      <w:color w:val="0000FF"/>
      <w:u w:val="single"/>
    </w:rPr>
  </w:style>
  <w:style w:type="character" w:styleId="Emphasis">
    <w:name w:val="Emphasis"/>
    <w:basedOn w:val="DefaultParagraphFont"/>
    <w:uiPriority w:val="20"/>
    <w:qFormat/>
    <w:rsid w:val="005A1A79"/>
    <w:rPr>
      <w:i/>
      <w:iCs/>
    </w:rPr>
  </w:style>
  <w:style w:type="paragraph" w:styleId="ListParagraph">
    <w:name w:val="List Paragraph"/>
    <w:basedOn w:val="Normal"/>
    <w:uiPriority w:val="34"/>
    <w:qFormat/>
    <w:rsid w:val="005A1A79"/>
    <w:pPr>
      <w:ind w:left="720"/>
      <w:contextualSpacing/>
    </w:pPr>
  </w:style>
  <w:style w:type="character" w:customStyle="1" w:styleId="whitespace-normal">
    <w:name w:val="whitespace-normal"/>
    <w:basedOn w:val="DefaultParagraphFont"/>
    <w:rsid w:val="00E92AD5"/>
  </w:style>
  <w:style w:type="paragraph" w:styleId="Header">
    <w:name w:val="header"/>
    <w:basedOn w:val="Normal"/>
    <w:link w:val="HeaderChar"/>
    <w:uiPriority w:val="99"/>
    <w:unhideWhenUsed/>
    <w:rsid w:val="009B76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76F0"/>
  </w:style>
  <w:style w:type="paragraph" w:styleId="Footer">
    <w:name w:val="footer"/>
    <w:basedOn w:val="Normal"/>
    <w:link w:val="FooterChar"/>
    <w:uiPriority w:val="99"/>
    <w:unhideWhenUsed/>
    <w:rsid w:val="009B76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76F0"/>
  </w:style>
  <w:style w:type="character" w:styleId="CommentReference">
    <w:name w:val="annotation reference"/>
    <w:basedOn w:val="DefaultParagraphFont"/>
    <w:uiPriority w:val="99"/>
    <w:semiHidden/>
    <w:unhideWhenUsed/>
    <w:rsid w:val="001B1F02"/>
    <w:rPr>
      <w:sz w:val="16"/>
      <w:szCs w:val="16"/>
    </w:rPr>
  </w:style>
  <w:style w:type="paragraph" w:styleId="CommentText">
    <w:name w:val="annotation text"/>
    <w:basedOn w:val="Normal"/>
    <w:link w:val="CommentTextChar"/>
    <w:uiPriority w:val="99"/>
    <w:semiHidden/>
    <w:unhideWhenUsed/>
    <w:rsid w:val="001B1F02"/>
    <w:pPr>
      <w:spacing w:line="240" w:lineRule="auto"/>
    </w:pPr>
    <w:rPr>
      <w:sz w:val="20"/>
      <w:szCs w:val="20"/>
    </w:rPr>
  </w:style>
  <w:style w:type="character" w:customStyle="1" w:styleId="CommentTextChar">
    <w:name w:val="Comment Text Char"/>
    <w:basedOn w:val="DefaultParagraphFont"/>
    <w:link w:val="CommentText"/>
    <w:uiPriority w:val="99"/>
    <w:semiHidden/>
    <w:rsid w:val="001B1F02"/>
    <w:rPr>
      <w:sz w:val="20"/>
      <w:szCs w:val="20"/>
    </w:rPr>
  </w:style>
  <w:style w:type="paragraph" w:styleId="CommentSubject">
    <w:name w:val="annotation subject"/>
    <w:basedOn w:val="CommentText"/>
    <w:next w:val="CommentText"/>
    <w:link w:val="CommentSubjectChar"/>
    <w:uiPriority w:val="99"/>
    <w:semiHidden/>
    <w:unhideWhenUsed/>
    <w:rsid w:val="001B1F02"/>
    <w:rPr>
      <w:b/>
      <w:bCs/>
    </w:rPr>
  </w:style>
  <w:style w:type="character" w:customStyle="1" w:styleId="CommentSubjectChar">
    <w:name w:val="Comment Subject Char"/>
    <w:basedOn w:val="CommentTextChar"/>
    <w:link w:val="CommentSubject"/>
    <w:uiPriority w:val="99"/>
    <w:semiHidden/>
    <w:rsid w:val="001B1F02"/>
    <w:rPr>
      <w:b/>
      <w:bCs/>
      <w:sz w:val="20"/>
      <w:szCs w:val="20"/>
    </w:rPr>
  </w:style>
  <w:style w:type="paragraph" w:styleId="BalloonText">
    <w:name w:val="Balloon Text"/>
    <w:basedOn w:val="Normal"/>
    <w:link w:val="BalloonTextChar"/>
    <w:uiPriority w:val="99"/>
    <w:semiHidden/>
    <w:unhideWhenUsed/>
    <w:rsid w:val="001B1F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F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839370">
      <w:bodyDiv w:val="1"/>
      <w:marLeft w:val="0"/>
      <w:marRight w:val="0"/>
      <w:marTop w:val="0"/>
      <w:marBottom w:val="0"/>
      <w:divBdr>
        <w:top w:val="none" w:sz="0" w:space="0" w:color="auto"/>
        <w:left w:val="none" w:sz="0" w:space="0" w:color="auto"/>
        <w:bottom w:val="none" w:sz="0" w:space="0" w:color="auto"/>
        <w:right w:val="none" w:sz="0" w:space="0" w:color="auto"/>
      </w:divBdr>
    </w:div>
    <w:div w:id="185063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and-innovation.ec.europa.eu/funding/funding-opportunities/funding-programmes-and-open-calls/horizon-europe_en?utm_source=chatgp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E5979-3D0E-41AE-80D2-2F504A591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4578</Words>
  <Characters>26096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Athor</dc:creator>
  <cp:keywords/>
  <dc:description/>
  <cp:lastModifiedBy>Милена Радулова</cp:lastModifiedBy>
  <cp:revision>3</cp:revision>
  <cp:lastPrinted>2026-03-25T10:05:00Z</cp:lastPrinted>
  <dcterms:created xsi:type="dcterms:W3CDTF">2026-06-15T11:09:00Z</dcterms:created>
  <dcterms:modified xsi:type="dcterms:W3CDTF">2026-06-24T09:39:00Z</dcterms:modified>
</cp:coreProperties>
</file>